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4D82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inherit" w:eastAsia="Times New Roman" w:hAnsi="inherit" w:cs="Segoe UI"/>
          <w:b/>
          <w:bCs/>
          <w:color w:val="FFFFFF"/>
          <w:kern w:val="0"/>
          <w:sz w:val="21"/>
          <w:szCs w:val="21"/>
          <w14:ligatures w14:val="none"/>
        </w:rPr>
      </w:pPr>
      <w:r w:rsidRPr="00560CD3">
        <w:rPr>
          <w:rFonts w:ascii="inherit" w:eastAsia="Times New Roman" w:hAnsi="inherit" w:cs="Segoe UI"/>
          <w:b/>
          <w:bCs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Notification of ERP Post-Go-Live &amp; Data Integrity Audit – Microsoft Dynamics 365 Business Central</w:t>
      </w:r>
    </w:p>
    <w:p w14:paraId="79577C98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D13438"/>
          <w:kern w:val="0"/>
          <w:sz w:val="21"/>
          <w:szCs w:val="21"/>
          <w:bdr w:val="none" w:sz="0" w:space="0" w:color="auto" w:frame="1"/>
          <w14:ligatures w14:val="none"/>
        </w:rPr>
      </w:pPr>
      <w:r w:rsidRPr="00560CD3">
        <w:rPr>
          <w:rFonts w:ascii="FluentSystemIconsFilled" w:eastAsia="Times New Roman" w:hAnsi="FluentSystemIconsFilled" w:cs="Segoe UI"/>
          <w:b/>
          <w:bCs/>
          <w:color w:val="D13438"/>
          <w:kern w:val="0"/>
          <w:sz w:val="15"/>
          <w:szCs w:val="15"/>
          <w:bdr w:val="none" w:sz="0" w:space="0" w:color="auto" w:frame="1"/>
          <w14:ligatures w14:val="none"/>
        </w:rPr>
        <w:t></w:t>
      </w:r>
    </w:p>
    <w:p w14:paraId="2C53C38A" w14:textId="77777777" w:rsidR="00560CD3" w:rsidRPr="00560CD3" w:rsidRDefault="00560CD3" w:rsidP="00560CD3">
      <w:pPr>
        <w:shd w:val="clear" w:color="auto" w:fill="292929"/>
        <w:wordWrap w:val="0"/>
        <w:spacing w:after="0" w:line="240" w:lineRule="auto"/>
        <w:textAlignment w:val="baseline"/>
        <w:rPr>
          <w:rFonts w:ascii="inherit" w:eastAsia="Times New Roman" w:hAnsi="inherit" w:cs="Segoe UI"/>
          <w:color w:val="FFFFFF"/>
          <w:kern w:val="0"/>
          <w:sz w:val="18"/>
          <w:szCs w:val="18"/>
          <w:bdr w:val="none" w:sz="0" w:space="0" w:color="auto" w:frame="1"/>
          <w14:ligatures w14:val="none"/>
        </w:rPr>
      </w:pPr>
      <w:r w:rsidRPr="00560CD3">
        <w:rPr>
          <w:rFonts w:ascii="inherit" w:eastAsia="Times New Roman" w:hAnsi="inherit" w:cs="Segoe UI"/>
          <w:color w:val="FFFFFF"/>
          <w:kern w:val="0"/>
          <w:sz w:val="18"/>
          <w:szCs w:val="18"/>
          <w:bdr w:val="none" w:sz="0" w:space="0" w:color="auto" w:frame="1"/>
          <w14:ligatures w14:val="none"/>
        </w:rPr>
        <w:t>Fred Omondi Ouma</w:t>
      </w:r>
    </w:p>
    <w:p w14:paraId="24814366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inherit" w:eastAsia="Times New Roman" w:hAnsi="inherit" w:cs="Segoe UI"/>
          <w:color w:val="D6D6D6"/>
          <w:kern w:val="0"/>
          <w:sz w:val="18"/>
          <w:szCs w:val="18"/>
          <w14:ligatures w14:val="none"/>
        </w:rPr>
      </w:pPr>
      <w:r w:rsidRPr="00560CD3">
        <w:rPr>
          <w:rFonts w:ascii="inherit" w:eastAsia="Times New Roman" w:hAnsi="inherit" w:cs="Segoe UI"/>
          <w:color w:val="D6D6D6"/>
          <w:kern w:val="0"/>
          <w:sz w:val="18"/>
          <w:szCs w:val="18"/>
          <w14:ligatures w14:val="none"/>
        </w:rPr>
        <w:t>​</w:t>
      </w:r>
      <w:r w:rsidRPr="00560CD3">
        <w:rPr>
          <w:rFonts w:ascii="inherit" w:eastAsia="Times New Roman" w:hAnsi="inherit" w:cs="Segoe UI"/>
          <w:color w:val="FFFFFF"/>
          <w:kern w:val="0"/>
          <w:sz w:val="18"/>
          <w:szCs w:val="18"/>
          <w:bdr w:val="none" w:sz="0" w:space="0" w:color="auto" w:frame="1"/>
          <w14:ligatures w14:val="none"/>
        </w:rPr>
        <w:t xml:space="preserve">Taariq </w:t>
      </w:r>
      <w:proofErr w:type="spellStart"/>
      <w:r w:rsidRPr="00560CD3">
        <w:rPr>
          <w:rFonts w:ascii="inherit" w:eastAsia="Times New Roman" w:hAnsi="inherit" w:cs="Segoe UI"/>
          <w:color w:val="FFFFFF"/>
          <w:kern w:val="0"/>
          <w:sz w:val="18"/>
          <w:szCs w:val="18"/>
          <w:bdr w:val="none" w:sz="0" w:space="0" w:color="auto" w:frame="1"/>
          <w14:ligatures w14:val="none"/>
        </w:rPr>
        <w:t>Twaha</w:t>
      </w:r>
      <w:proofErr w:type="spellEnd"/>
      <w:r w:rsidRPr="00560CD3">
        <w:rPr>
          <w:rFonts w:ascii="inherit" w:eastAsia="Times New Roman" w:hAnsi="inherit" w:cs="Segoe UI"/>
          <w:color w:val="D6D6D6"/>
          <w:kern w:val="0"/>
          <w:sz w:val="18"/>
          <w:szCs w:val="18"/>
          <w14:ligatures w14:val="none"/>
        </w:rPr>
        <w:t>​</w:t>
      </w:r>
    </w:p>
    <w:p w14:paraId="0E0377B9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inherit" w:eastAsia="Times New Roman" w:hAnsi="inherit" w:cs="Segoe UI"/>
          <w:color w:val="D6D6D6"/>
          <w:kern w:val="0"/>
          <w:sz w:val="18"/>
          <w:szCs w:val="18"/>
          <w14:ligatures w14:val="none"/>
        </w:rPr>
      </w:pPr>
      <w:r w:rsidRPr="00560CD3">
        <w:rPr>
          <w:rFonts w:ascii="inherit" w:eastAsia="Times New Roman" w:hAnsi="inherit" w:cs="Segoe UI"/>
          <w:color w:val="D6D6D6"/>
          <w:kern w:val="0"/>
          <w:sz w:val="18"/>
          <w:szCs w:val="18"/>
          <w14:ligatures w14:val="none"/>
        </w:rPr>
        <w:t>​</w:t>
      </w:r>
      <w:r w:rsidRPr="00560CD3">
        <w:rPr>
          <w:rFonts w:ascii="inherit" w:eastAsia="Times New Roman" w:hAnsi="inherit" w:cs="Segoe UI"/>
          <w:color w:val="FFFFFF"/>
          <w:kern w:val="0"/>
          <w:sz w:val="18"/>
          <w:szCs w:val="18"/>
          <w:bdr w:val="none" w:sz="0" w:space="0" w:color="auto" w:frame="1"/>
          <w14:ligatures w14:val="none"/>
        </w:rPr>
        <w:t>Amos Muthiani</w:t>
      </w:r>
      <w:r w:rsidRPr="00560CD3">
        <w:rPr>
          <w:rFonts w:ascii="inherit" w:eastAsia="Times New Roman" w:hAnsi="inherit" w:cs="Segoe UI"/>
          <w:color w:val="D6D6D6"/>
          <w:kern w:val="0"/>
          <w:sz w:val="18"/>
          <w:szCs w:val="18"/>
          <w14:ligatures w14:val="none"/>
        </w:rPr>
        <w:t>​</w:t>
      </w:r>
    </w:p>
    <w:p w14:paraId="3614BB9D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Dear Taariq,</w:t>
      </w:r>
    </w:p>
    <w:p w14:paraId="546E53D8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In line with the approved 2026 Internal Audit Plan and the Society's ongoing digital transformation agenda, Internal Audit will be undertaking an </w:t>
      </w:r>
      <w:r w:rsidRPr="00560CD3">
        <w:rPr>
          <w:rFonts w:ascii="Aptos" w:eastAsia="Times New Roman" w:hAnsi="Aptos" w:cs="Segoe UI"/>
          <w:b/>
          <w:bCs/>
          <w:color w:val="FFFFFF"/>
          <w:kern w:val="0"/>
          <w:sz w:val="22"/>
          <w:szCs w:val="22"/>
          <w14:ligatures w14:val="none"/>
        </w:rPr>
        <w:t>ERP Post-Go-Live &amp; Data Integrity Audit focusing on Microsoft Dynamics 365 Business Central</w:t>
      </w: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.</w:t>
      </w:r>
    </w:p>
    <w:p w14:paraId="27936F32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The objective of this engagement is to provide independent assurance on the </w:t>
      </w:r>
      <w:r w:rsidRPr="00560CD3">
        <w:rPr>
          <w:rFonts w:ascii="Aptos" w:eastAsia="Times New Roman" w:hAnsi="Aptos" w:cs="Segoe UI"/>
          <w:b/>
          <w:bCs/>
          <w:color w:val="FFFFFF"/>
          <w:kern w:val="0"/>
          <w:sz w:val="22"/>
          <w:szCs w:val="22"/>
          <w14:ligatures w14:val="none"/>
        </w:rPr>
        <w:t>stability, integrity, and control environment of the ERP following go-live</w:t>
      </w: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 xml:space="preserve">, with particular focus on data quality, integrations, access governance, and critical business processes that support financial reporting, donor compliance, and </w:t>
      </w:r>
      <w:proofErr w:type="spellStart"/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programme</w:t>
      </w:r>
      <w:proofErr w:type="spellEnd"/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 xml:space="preserve"> delivery.</w:t>
      </w:r>
    </w:p>
    <w:p w14:paraId="5E1D8FF4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b/>
          <w:bCs/>
          <w:color w:val="FFFFFF"/>
          <w:kern w:val="0"/>
          <w:sz w:val="22"/>
          <w:szCs w:val="22"/>
          <w14:ligatures w14:val="none"/>
        </w:rPr>
        <w:t>Scope of the audit will include, but not be limited to:</w:t>
      </w:r>
    </w:p>
    <w:p w14:paraId="2F2865B9" w14:textId="77777777" w:rsidR="00560CD3" w:rsidRPr="00560CD3" w:rsidRDefault="00560CD3" w:rsidP="00560CD3">
      <w:pPr>
        <w:numPr>
          <w:ilvl w:val="0"/>
          <w:numId w:val="2"/>
        </w:numPr>
        <w:shd w:val="clear" w:color="auto" w:fill="292929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Data migration integrity and reconciliation (vendors, customers, chart of accounts, balances).</w:t>
      </w:r>
    </w:p>
    <w:p w14:paraId="3BD33B21" w14:textId="77777777" w:rsidR="00560CD3" w:rsidRPr="00560CD3" w:rsidRDefault="00560CD3" w:rsidP="00560CD3">
      <w:pPr>
        <w:numPr>
          <w:ilvl w:val="0"/>
          <w:numId w:val="2"/>
        </w:numPr>
        <w:shd w:val="clear" w:color="auto" w:fill="292929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Core ERP configurations and key business processes (Finance, Procurement, Assets, HR-related interfaces).</w:t>
      </w:r>
    </w:p>
    <w:p w14:paraId="3190416C" w14:textId="77777777" w:rsidR="00560CD3" w:rsidRPr="00560CD3" w:rsidRDefault="00560CD3" w:rsidP="00560CD3">
      <w:pPr>
        <w:numPr>
          <w:ilvl w:val="0"/>
          <w:numId w:val="2"/>
        </w:numPr>
        <w:shd w:val="clear" w:color="auto" w:fill="292929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Segregation of duties and privileged access management within Dynamics 365 Business Central.</w:t>
      </w:r>
    </w:p>
    <w:p w14:paraId="062A9D50" w14:textId="77777777" w:rsidR="00560CD3" w:rsidRPr="00560CD3" w:rsidRDefault="00560CD3" w:rsidP="00560CD3">
      <w:pPr>
        <w:numPr>
          <w:ilvl w:val="0"/>
          <w:numId w:val="2"/>
        </w:numPr>
        <w:shd w:val="clear" w:color="auto" w:fill="292929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Interfaces and integrations between Dynamics 365 Business Central and payment platforms (including M-PESA and bank payment portals).</w:t>
      </w:r>
    </w:p>
    <w:p w14:paraId="2BE1A7B5" w14:textId="77777777" w:rsidR="00560CD3" w:rsidRPr="00560CD3" w:rsidRDefault="00560CD3" w:rsidP="00560CD3">
      <w:pPr>
        <w:numPr>
          <w:ilvl w:val="0"/>
          <w:numId w:val="2"/>
        </w:numPr>
        <w:shd w:val="clear" w:color="auto" w:fill="292929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Post-go-live controls, issue management, and stabilization measures.</w:t>
      </w:r>
    </w:p>
    <w:p w14:paraId="0AEB9396" w14:textId="77777777" w:rsidR="00560CD3" w:rsidRPr="00560CD3" w:rsidRDefault="00560CD3" w:rsidP="00560CD3">
      <w:pPr>
        <w:numPr>
          <w:ilvl w:val="0"/>
          <w:numId w:val="2"/>
        </w:numPr>
        <w:shd w:val="clear" w:color="auto" w:fill="292929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Change management, user access provisioning, and system support arrangements.</w:t>
      </w:r>
    </w:p>
    <w:p w14:paraId="0A89AA40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Preliminary works including understanding the solution and gaining login access, is on-going. The audit will be conducted as an </w:t>
      </w:r>
      <w:r w:rsidRPr="00560CD3">
        <w:rPr>
          <w:rFonts w:ascii="Aptos" w:eastAsia="Times New Roman" w:hAnsi="Aptos" w:cs="Segoe UI"/>
          <w:b/>
          <w:bCs/>
          <w:color w:val="FFFFFF"/>
          <w:kern w:val="0"/>
          <w:sz w:val="22"/>
          <w:szCs w:val="22"/>
          <w14:ligatures w14:val="none"/>
        </w:rPr>
        <w:t>assurance engagement</w:t>
      </w: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, commencing 2nd February 2026 (proposed entry meeting date), with fieldwork expected to run for approximately 2</w:t>
      </w:r>
      <w:r w:rsidRPr="00560CD3">
        <w:rPr>
          <w:rFonts w:ascii="Aptos" w:eastAsia="Times New Roman" w:hAnsi="Aptos" w:cs="Segoe UI"/>
          <w:b/>
          <w:bCs/>
          <w:color w:val="FFFFFF"/>
          <w:kern w:val="0"/>
          <w:sz w:val="22"/>
          <w:szCs w:val="22"/>
          <w14:ligatures w14:val="none"/>
        </w:rPr>
        <w:t> weeks</w:t>
      </w: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, followed by reporting and management action planning.</w:t>
      </w:r>
    </w:p>
    <w:p w14:paraId="5E551B09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Should you require any clarification ahead of the entry meeting, please do not hesitate to reach out.</w:t>
      </w:r>
    </w:p>
    <w:p w14:paraId="01FB148C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Yours sincerely,</w:t>
      </w:r>
    </w:p>
    <w:p w14:paraId="184FDE08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Fred Ouma |</w:t>
      </w:r>
    </w:p>
    <w:p w14:paraId="4B05A1F7" w14:textId="77777777" w:rsidR="00560CD3" w:rsidRPr="00560CD3" w:rsidRDefault="00560CD3" w:rsidP="00560CD3">
      <w:pPr>
        <w:shd w:val="clear" w:color="auto" w:fill="292929"/>
        <w:spacing w:after="0" w:line="240" w:lineRule="auto"/>
        <w:textAlignment w:val="baseline"/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</w:pPr>
      <w:r w:rsidRPr="00560CD3">
        <w:rPr>
          <w:rFonts w:ascii="Aptos" w:eastAsia="Times New Roman" w:hAnsi="Aptos" w:cs="Segoe UI"/>
          <w:color w:val="FFFFFF"/>
          <w:kern w:val="0"/>
          <w:sz w:val="22"/>
          <w:szCs w:val="22"/>
          <w14:ligatures w14:val="none"/>
        </w:rPr>
        <w:t>Internal Audit Services</w:t>
      </w:r>
    </w:p>
    <w:p w14:paraId="4CB576F8" w14:textId="77777777" w:rsidR="00451EEC" w:rsidRDefault="00451EEC"/>
    <w:sectPr w:rsidR="00451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luentSystemIconsFilled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334A"/>
    <w:multiLevelType w:val="multilevel"/>
    <w:tmpl w:val="BD0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0392D"/>
    <w:multiLevelType w:val="multilevel"/>
    <w:tmpl w:val="839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304267">
    <w:abstractNumId w:val="0"/>
  </w:num>
  <w:num w:numId="2" w16cid:durableId="768431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D3"/>
    <w:rsid w:val="00306F76"/>
    <w:rsid w:val="003B059A"/>
    <w:rsid w:val="00451EEC"/>
    <w:rsid w:val="00560CD3"/>
    <w:rsid w:val="00C57074"/>
    <w:rsid w:val="00F46D13"/>
    <w:rsid w:val="00F6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C1C5"/>
  <w15:chartTrackingRefBased/>
  <w15:docId w15:val="{056E729B-D5A9-48CA-9605-2EC25A4A0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Omondi Ouma</dc:creator>
  <cp:keywords/>
  <dc:description/>
  <cp:lastModifiedBy>Fred Omondi Ouma</cp:lastModifiedBy>
  <cp:revision>1</cp:revision>
  <dcterms:created xsi:type="dcterms:W3CDTF">2026-02-03T11:58:00Z</dcterms:created>
  <dcterms:modified xsi:type="dcterms:W3CDTF">2026-02-03T11:59:00Z</dcterms:modified>
</cp:coreProperties>
</file>