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7-246.992.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1264440490"/>
            <w:r>
              <w:rPr>
                <w:color w:val="FFFFFF" w:themeColor="background1"/>
                <w:sz w:val="90"/>
                <w:szCs w:val="90"/>
              </w:rPr>
              <w:t xml:space="preserve">ERP Post-Go-Live &amp; Data Integrity Audit – Microsoft Dynamics 365 Business Central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February  2, 2026</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February 20, 2026</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654308240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311572391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330987580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731697974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001 Weaknesses in Financial Posting Controls and Master Data Governance Affecting Data Integrity Assurance</w:t>
      </w:r>
      <w:r>
        <w:rPr>
          <w:rFonts w:asciiTheme="minorHAnsi" w:hAnsiTheme="minorHAnsi"/>
          <w:bCs/>
          <w:color w:val="070F13" w:themeColor="text1"/>
          <w:sz w:val="24"/>
        </w:rPr>
        <w:tab/>
      </w:r>
      <w:fldSimple w:instr=" PAGEREF _Toc1074506907 ">
        <w:r>
          <w:rPr>
            <w:rFonts w:asciiTheme="minorHAnsi" w:hAnsiTheme="minorHAnsi"/>
            <w:bCs/>
            <w:color w:val="070F13" w:themeColor="text1"/>
            <w:sz w:val="24"/>
          </w:rPr>
          <w:t xml:space="preserve">8</w:t>
        </w:r>
      </w:fldSimple>
    </w:p>
    <w:p>
      <w:pPr>
        <w:pStyle w:val="TOC1"/>
        <w:spacing w:before="120"/>
        <w:rPr/>
      </w:pPr>
      <w:r>
        <w:rPr>
          <w:rFonts w:asciiTheme="minorHAnsi" w:hAnsiTheme="minorHAnsi"/>
          <w:bCs/>
          <w:color w:val="070F13" w:themeColor="text1"/>
          <w:sz w:val="24"/>
        </w:rPr>
        <w:t xml:space="preserve">003 Segregation of Duties Design Weaknesses in Master Data and High-Risk Transaction Processing</w:t>
      </w:r>
      <w:r>
        <w:rPr>
          <w:rFonts w:asciiTheme="minorHAnsi" w:hAnsiTheme="minorHAnsi"/>
          <w:bCs/>
          <w:color w:val="070F13" w:themeColor="text1"/>
          <w:sz w:val="24"/>
        </w:rPr>
        <w:tab/>
      </w:r>
      <w:fldSimple w:instr=" PAGEREF _Toc1888514901 ">
        <w:r>
          <w:rPr>
            <w:rFonts w:asciiTheme="minorHAnsi" w:hAnsiTheme="minorHAnsi"/>
            <w:bCs/>
            <w:color w:val="070F13" w:themeColor="text1"/>
            <w:sz w:val="24"/>
          </w:rPr>
          <w:t xml:space="preserve">11</w:t>
        </w:r>
      </w:fldSimple>
    </w:p>
    <w:p>
      <w:pPr>
        <w:pStyle w:val="TOC1"/>
        <w:spacing w:before="120"/>
        <w:rPr/>
      </w:pPr>
      <w:r>
        <w:rPr>
          <w:rFonts w:asciiTheme="minorHAnsi" w:hAnsiTheme="minorHAnsi"/>
          <w:bCs/>
          <w:color w:val="070F13" w:themeColor="text1"/>
          <w:sz w:val="24"/>
        </w:rPr>
        <w:t xml:space="preserve">004 Inconsistent UAT Governance and Incomplete ERP User Documentation Prior to and Following Go-Live</w:t>
      </w:r>
      <w:r>
        <w:rPr>
          <w:rFonts w:asciiTheme="minorHAnsi" w:hAnsiTheme="minorHAnsi"/>
          <w:bCs/>
          <w:color w:val="070F13" w:themeColor="text1"/>
          <w:sz w:val="24"/>
        </w:rPr>
        <w:tab/>
      </w:r>
      <w:fldSimple w:instr=" PAGEREF _Toc1366803133 ">
        <w:r>
          <w:rPr>
            <w:rFonts w:asciiTheme="minorHAnsi" w:hAnsiTheme="minorHAnsi"/>
            <w:bCs/>
            <w:color w:val="070F13" w:themeColor="text1"/>
            <w:sz w:val="24"/>
          </w:rPr>
          <w:t xml:space="preserve">15</w:t>
        </w:r>
      </w:fldSimple>
    </w:p>
    <w:p>
      <w:pPr>
        <w:pStyle w:val="TOC1"/>
        <w:spacing w:before="120"/>
        <w:rPr/>
      </w:pPr>
      <w:r>
        <w:rPr>
          <w:rFonts w:asciiTheme="minorHAnsi" w:hAnsiTheme="minorHAnsi"/>
          <w:bCs/>
          <w:color w:val="070F13" w:themeColor="text1"/>
          <w:sz w:val="24"/>
        </w:rPr>
        <w:t xml:space="preserve">002 Absence of Formal Field-Level Data Mapping Governance Despite Successful Operational Transformation</w:t>
      </w:r>
      <w:r>
        <w:rPr>
          <w:rFonts w:asciiTheme="minorHAnsi" w:hAnsiTheme="minorHAnsi"/>
          <w:bCs/>
          <w:color w:val="070F13" w:themeColor="text1"/>
          <w:sz w:val="24"/>
        </w:rPr>
        <w:tab/>
      </w:r>
      <w:fldSimple w:instr=" PAGEREF _Toc1126408922 ">
        <w:r>
          <w:rPr>
            <w:rFonts w:asciiTheme="minorHAnsi" w:hAnsiTheme="minorHAnsi"/>
            <w:bCs/>
            <w:color w:val="070F13" w:themeColor="text1"/>
            <w:sz w:val="24"/>
          </w:rPr>
          <w:t xml:space="preserve">19</w:t>
        </w:r>
      </w:fldSimple>
    </w:p>
    <w:p>
      <w:pPr>
        <w:pStyle w:val="TOC1"/>
        <w:spacing w:before="120"/>
        <w:rPr/>
      </w:pPr>
      <w:r>
        <w:rPr>
          <w:rFonts w:asciiTheme="minorHAnsi" w:hAnsiTheme="minorHAnsi"/>
          <w:bCs/>
          <w:color w:val="070F13" w:themeColor="text1"/>
          <w:sz w:val="24"/>
        </w:rPr>
        <w:t xml:space="preserve">005 ERP Change Management Framework Not Fully Formalized or Tailored to ERP-Specific Risk Exposure</w:t>
      </w:r>
      <w:r>
        <w:rPr>
          <w:rFonts w:asciiTheme="minorHAnsi" w:hAnsiTheme="minorHAnsi"/>
          <w:bCs/>
          <w:color w:val="070F13" w:themeColor="text1"/>
          <w:sz w:val="24"/>
        </w:rPr>
        <w:tab/>
      </w:r>
      <w:fldSimple w:instr=" PAGEREF _Toc1680472496 ">
        <w:r>
          <w:rPr>
            <w:rFonts w:asciiTheme="minorHAnsi" w:hAnsiTheme="minorHAnsi"/>
            <w:bCs/>
            <w:color w:val="070F13" w:themeColor="text1"/>
            <w:sz w:val="24"/>
          </w:rPr>
          <w:t xml:space="preserve">22</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654308240"/>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This audit aims to confirm that data migration activities into the new ERP are complete, accurate, and supported by appropriate controls, and to verify that end users are prepared to operate on the migrated dataset without causing business disruptions.</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Kenya Red Cross Society (KRCS) recently completed an organization-wide upgrade to a cloud-based Enterprise Resource Planning (ERP) system, replacing several legacy applications that managed financials, procurement, and human resources independently. Prior to this upgrade, disparate platforms led to duplicated data entry, reporting inconsistencies, and manual reconciliation efforts between modules. These gaps created opportunities for errors during data transfers and made it difficult to maintain a single source of truth for critical organizational information. In Q1 2025, KRCS initiated a large-scale data migration project to transfer historical records—spanning donor contributions, transaction histories, and staff payroll details—from on-premises databases into the new ERP cloud environment. While functional requirements and basic controls were defined, tensions between accelerated timelines and comprehensive testing raised concerns about data integrity, completeness, and user readiness. Moreover, several custom interfaces were built to connect the ERP with external systems (e.g., donor reporting dashboards), but documentation remains incomplete. Given the mission-critical nature of the ERP—where any data loss or mapping errors can disrupt relief operations and donor accountability—KRCS’s audit team has prioritized an independent review of the data migration design, execution practices, and resulting system readiness.</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numPr>
          <w:ilvl w:val="0"/>
          <w:numId w:val="12"/>
        </w:numPr>
        <w:ind w:left="720" w:right="0" w:hanging="360"/>
        <w:contextualSpacing/>
        <w:rPr>
          <w:sz w:val="20"/>
        </w:rPr>
      </w:pPr>
      <w:r>
        <w:rPr>
          <w:rFonts w:ascii="Calibri" w:hAnsi="Calibri"/>
          <w:b w:val="on"/>
          <w:color w:val="070F13" w:themeColor="text1"/>
          <w:sz w:val="24"/>
          <w:szCs w:val="24"/>
        </w:rPr>
        <w:t xml:space="preserve">Data Migration Planning &amp; Governance</w:t>
      </w:r>
      <w:r>
        <w:rPr>
          <w:rFonts w:ascii="Calibri" w:hAnsi="Calibri"/>
          <w:b w:val="off"/>
          <w:color w:val="070F13" w:themeColor="text1"/>
          <w:sz w:val="24"/>
          <w:szCs w:val="24"/>
        </w:rPr>
        <w:t xml:space="preserve">: Reviewing the project charter, migration protocols, and reconciliation processes used to map source fields to ERP modules.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b w:val="on"/>
          <w:color w:val="070F13" w:themeColor="text1"/>
          <w:sz w:val="24"/>
          <w:szCs w:val="24"/>
        </w:rPr>
        <w:t xml:space="preserve">Data Integrity Validation</w:t>
      </w:r>
      <w:r>
        <w:rPr>
          <w:rFonts w:ascii="Calibri" w:hAnsi="Calibri"/>
          <w:b w:val="off"/>
          <w:color w:val="070F13" w:themeColor="text1"/>
          <w:sz w:val="24"/>
          <w:szCs w:val="24"/>
        </w:rPr>
        <w:t xml:space="preserve">: Performing sample-based tests to ensure record counts, balances, and key attributes (e.g., donor IDs, expense classifications) match between legacy systems and the new ERP.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b w:val="on"/>
          <w:color w:val="070F13" w:themeColor="text1"/>
          <w:sz w:val="24"/>
          <w:szCs w:val="24"/>
        </w:rPr>
        <w:t xml:space="preserve">Interface &amp; Integration Controls</w:t>
      </w:r>
      <w:r>
        <w:rPr>
          <w:rFonts w:ascii="Calibri" w:hAnsi="Calibri"/>
          <w:b w:val="off"/>
          <w:color w:val="070F13" w:themeColor="text1"/>
          <w:sz w:val="24"/>
          <w:szCs w:val="24"/>
        </w:rPr>
        <w:t xml:space="preserve">: Assessing how middleware and custom connectors are configured to transfer data between the ERP and other applications (e.g., donor reporting, payroll system), including error-handling logic.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b w:val="on"/>
          <w:color w:val="070F13" w:themeColor="text1"/>
          <w:sz w:val="24"/>
          <w:szCs w:val="24"/>
        </w:rPr>
        <w:t xml:space="preserve">User Acceptance &amp; Training Readiness</w:t>
      </w:r>
      <w:r>
        <w:rPr>
          <w:rFonts w:ascii="Calibri" w:hAnsi="Calibri"/>
          <w:b w:val="off"/>
          <w:color w:val="070F13" w:themeColor="text1"/>
          <w:sz w:val="24"/>
          <w:szCs w:val="24"/>
        </w:rPr>
        <w:t xml:space="preserve">: Verifying that training materials align with updated business processes, and that a representative user group has successfully completed UAT scripts covering key workflows. </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311572391"/>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14%</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pStyle w:val="Heading2"/>
        <w:rPr>
          <w:rFonts w:ascii="Times"/>
          <w:b w:val="on"/>
        </w:rPr>
      </w:pPr>
      <w:r>
        <w:rPr>
          <w:rFonts w:ascii="Calibri" w:hAnsi="Calibri"/>
          <w:color w:val="070F13" w:themeColor="text1"/>
          <w:sz w:val="24"/>
          <w:szCs w:val="24"/>
        </w:rPr>
        <w:t xml:space="preserve">What We Found</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Internal Audit conducted a post-go-live review of the Kenya Red Cross Society’s migration from Microsoft Dynamics NAV 2016 to Microsoft Dynamics 365 Business Central. The audit covered activities from the migration period through stabilization of the upgraded ERP environment. The system supports financial management, procurement, payroll, inventory, and related integrations and is therefore central to donor accountability, operational continuity, and financial reporting integrity.</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Based on our review, we issued an overall rating of </w:t>
      </w:r>
      <w:r>
        <w:rPr>
          <w:rFonts w:ascii="Calibri" w:hAnsi="Calibri"/>
          <w:b w:val="on"/>
          <w:color w:val="070F13" w:themeColor="text1"/>
          <w:sz w:val="24"/>
          <w:szCs w:val="24"/>
        </w:rPr>
        <w:t xml:space="preserve">Needs Improvement</w:t>
      </w:r>
      <w:r>
        <w:rPr>
          <w:rFonts w:ascii="Calibri" w:hAnsi="Calibri"/>
          <w:b w:val="off"/>
          <w:color w:val="070F13" w:themeColor="text1"/>
          <w:sz w:val="24"/>
          <w:szCs w:val="24"/>
        </w:rPr>
        <w:t xml:space="preserve">.</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The migration achieved structural completeness and operational continuity. All General Ledger accounts and master records were successfully ported, and no evidence of omitted legacy data was identified. Core financial and operational workflows—including procure-to-pay, payroll, and advances—are functional and producing expected accounting outputs. Data transformation testing confirmed that structural conversions were applied accurately. Implementation governance was formally constituted, with a defined project charter and steering oversight during migration. No evidence of malicious system alteration was identified in the post-go-live environment.</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However, while the system is operational, control maturity gaps remain.</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Financial posting discipline weaknesses originating in the legacy environment were carried forward into the upgraded system, indicating that underlying reconciliation and posting governance require strengthening. Master data governance controls are not yet fully formalized, resulting in inconsistencies in master record management. In addition, no formally approved data-mapping matrix exists to independently validate field-level transformation logic, limiting audit trail traceability.</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Segregation of duties and access governance controls exhibit design weaknesses. Preventive approval workflows for critical master data creation are not fully enforced, and certain managerial roles retain incompatible transactional capabilities, increasing inherent fraud risk exposure. User Acceptance Testing was conducted; however, documentation and formal sign-off were inconsistent across modules. Standardized user manuals for certain core ERP finance processes remain incomplete. Finally, while a general ICT change management framework exists, it is not sufficiently tailored to ERP-specific financial system risks, and post-implementation review requirements are not consistently applied.</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Collectively, these weaknesses do not indicate system failure or data loss. Rather, they reflect governance and control formalization gaps that require strengthening to ensure sustained reliability and risk mitigation within a mission-critical financial system. </w:t>
      </w:r>
    </w:p>
    <w:p>
      <w:pPr>
        <w:pStyle w:val="Heading2"/>
        <w:keepNext w:val="off"/>
        <w:keepLines w:val="off"/>
        <w:spacing w:before="0" w:after="0" w:line="240" w:lineRule="auto"/>
        <w:rPr>
          <w:rFonts w:ascii="Times" w:hAnsiTheme="minorHAnsi" w:cstheme="minorBidi" w:eastAsiaTheme="minorHAnsi"/>
          <w:b w:val="on"/>
          <w:bCs w:val="off"/>
          <w:i w:val="off"/>
          <w:iCs w:val="off"/>
          <w:smallCaps w:val="off"/>
          <w:strike w:val="off"/>
          <w:dstrike w:val="off"/>
          <w:outline w:val="off"/>
          <w:shadow w:val="off"/>
          <w:vanish w:val="off"/>
          <w:color w:val="auto"/>
          <w:spacing w:val="0"/>
          <w:w w:val="100"/>
          <w:kern w:val="0"/>
          <w:position w:val="0"/>
          <w:sz w:val="36"/>
          <w:szCs w:val="36"/>
          <w:vertAlign w:val="baseline"/>
          <w:lang w:val="en-US" w:eastAsia="en-US" w:bidi="en-US"/>
        </w:rPr>
      </w:pPr>
      <w:r>
        <w:rPr>
          <w:rFonts w:ascii="Calibri" w:hAnsi="Calibri"/>
          <w:color w:val="070F13" w:themeColor="text1"/>
          <w:sz w:val="24"/>
          <w:szCs w:val="24"/>
        </w:rPr>
        <w:t xml:space="preserve">What We Recommend</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We made targeted recommendations aimed at strengthening financial control discipline, formalizing master data governance, enhancing segregation of duties and preventive workflow enforcement, improving UAT documentation and ERP user guidance, and tailoring change management procedures specifically to ERP risk exposure. These actions are intended to elevate the control environment from operationally functional to sustainably mature. Details of these recommendations are included in the body of this report.</w:t>
      </w:r>
    </w:p>
    <w:p>
      <w:pPr>
        <w:pStyle w:val="Heading2"/>
        <w:keepNext w:val="off"/>
        <w:keepLines w:val="off"/>
        <w:spacing w:before="0" w:after="0" w:line="240" w:lineRule="auto"/>
        <w:rPr>
          <w:rFonts w:ascii="Times" w:hAnsiTheme="minorHAnsi" w:cstheme="minorBidi" w:eastAsiaTheme="minorHAnsi"/>
          <w:b w:val="on"/>
          <w:bCs w:val="off"/>
          <w:i w:val="off"/>
          <w:iCs w:val="off"/>
          <w:smallCaps w:val="off"/>
          <w:strike w:val="off"/>
          <w:dstrike w:val="off"/>
          <w:outline w:val="off"/>
          <w:shadow w:val="off"/>
          <w:vanish w:val="off"/>
          <w:color w:val="auto"/>
          <w:spacing w:val="0"/>
          <w:w w:val="100"/>
          <w:kern w:val="0"/>
          <w:position w:val="0"/>
          <w:sz w:val="36"/>
          <w:szCs w:val="36"/>
          <w:vertAlign w:val="baseline"/>
          <w:lang w:val="en-US" w:eastAsia="en-US" w:bidi="en-US"/>
        </w:rPr>
      </w:pPr>
      <w:r>
        <w:rPr>
          <w:rFonts w:ascii="Calibri" w:hAnsi="Calibri"/>
          <w:color w:val="070F13" w:themeColor="text1"/>
          <w:sz w:val="24"/>
          <w:szCs w:val="24"/>
        </w:rPr>
        <w:t xml:space="preserve">How We Did Our Work</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The audit covered the ERP migration and post-go-live stabilization period. We examined structural reconciliations between the legacy and upgraded systems, reviewed general ledger and master data integrity controls, and performed sample-based testing of transaction-level data transformations. We assessed migration governance documentation, evaluated segregation of duties through role and permission testing, reviewed User Acceptance Testing evidence and training materials, and tested a risk-based sample of post-go-live system changes. Procedures included documentation review, walkthroughs, interviews with key personnel, system configuration inspection, and detailed testing of selected transactions and controls.</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The audit was conducted in accordance with the Global Internal Audit Standards of the Institute of Internal Auditors (IIA).</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Management has acknowledged the observations raised and is in the process of implementing corrective actions. Where appropriate, management responses have been incorporated into the report.</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330987580"/>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Data Migration Completeness, Accuracy &amp; Integrity</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60%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Business Process Configuration &amp; Control Effectiveness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Segregation of Duties &amp; Access Governance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ERP Integration &amp; Interface Controls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ERP Change Management &amp; Post-Implementation Governance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3</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7</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5</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731697974"/>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Weaknesses in Financial Posting Controls and Master Data Governance Affecting Data Integrity Assurance</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Head of Finance, Procurement and Fleet</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Segregation of Duties Design Weaknesses in Master Data and High-Risk Transaction Processing</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Project steering committee Lead and Process Owners</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Inconsistent UAT Governance and Incomplete ERP User Documentation Prior to and Following Go-Live</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ERP Implementation Project Lead</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Absence of Formal Field-Level Data Mapping Governance Despite Successful Operational Transformation</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Head of Project Steering Committee</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005</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ERP Change Management Framework Not Fully Formalized or Tailored to ERP-Specific Risk Exposure</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ERP Project Implementation Lead</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074506907"/>
            <w:r>
              <w:rPr/>
              <w:t xml:space="preserve"> 001 Weaknesses in Financial Posting Controls and Master Data Governance Affecting Data Integrity Assurance</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Data Migration Completeness, Accuracy &amp; Integrity</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Head of Finance, Procurement and Fleet</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February 18, 2026</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ISA 315 and ISA 500 require management to maintain effective internal controls to ensure the completeness, accuracy, and integrity of accounting records.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ISO 27001 A.12.1.2 and A.14.2.5 require that data migration processes preserve historical integrity and prevent propagation of unresolved control weaknesses into new systems.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Good practice further requires that: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Trial balances be fully reconciled and balanced.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Financial posting controls prevent recurring misstatements.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Master data be governed through controlled creation, modification, and lineage traceability.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Internal Audit confirmed that: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All General Ledger accounts were successfully ported.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Structural integrity of the Chart of Accounts was preserved.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legacy records were omitted.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Explanations for identified value-level variances were supported and reasonable.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the review identified the following residual control weaknesses:</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Trial Balance Integrity Weakness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Both the legacy NAV system and the upgraded Business Central environment exhibited imbalance conditions. While migration did not introduce these conditions, they were carried forward into the new ERP.</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indicates that legacy financial control weaknesses were embedded into the upgraded system environment.</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Recurring Posting Discipline Weakness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acknowledged instances of reversal misposting and weak cut-off discipline in the legacy system. Although adjustments were supported, the control design weakness around posting governance remains relevant.</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Master Data Governance Gaps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Testing identified: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Duplicate vendor records.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Inconsistent customer metadata.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Inconsistent item naming conventions.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Presence of non-operational/dummy master records.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These do not indicate incomplete migration but reflect insufficient master data governance controls during and immediately following go-live.</w:t>
            </w:r>
          </w:p>
          <w:p>
            <w:pPr>
              <w:pStyle w:val="BodyText"/>
              <w:numPr>
                <w:ilvl w:val="0"/>
                <w:numId w:val="17"/>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Inventory Lineage Break (IEC0313)</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An item-level traceability inconsistency was identified where historical ledger activity could not be fully reconciled to legacy master data records.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While no financial misstatement was identified, the absence of documented transformation mapping prevents full assurance over historical data lineage at the item level.</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Root Causes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Weak financial posting controls in legacy system, particularly around reversal processing and cut-off management.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master data governance and absence of documented field-level migration mapping.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1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Continued financial imbalance conditions within Business Central. </w:t>
            </w:r>
          </w:p>
          <w:p>
            <w:pPr>
              <w:pStyle w:val="BodyText"/>
              <w:numPr>
                <w:ilvl w:val="0"/>
                <w:numId w:val="1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Reduced confidence in inventory-level historical reporting and donor-funded asset tracking. </w:t>
            </w:r>
          </w:p>
          <w:p>
            <w:pPr>
              <w:pStyle w:val="BodyText"/>
              <w:numPr>
                <w:ilvl w:val="0"/>
                <w:numId w:val="1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external audit scrutiny and potential data lineage qualification. </w:t>
            </w:r>
          </w:p>
          <w:p>
            <w:pPr>
              <w:pStyle w:val="BodyText"/>
              <w:numPr>
                <w:ilvl w:val="0"/>
                <w:numId w:val="1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Fraud risk amplification due to permissive posting and master data control weaknesses.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implement a structured financial integrity remediation program that includes: </w:t>
            </w:r>
          </w:p>
          <w:p>
            <w:pPr>
              <w:pStyle w:val="BodyText"/>
              <w:numPr>
                <w:ilvl w:val="0"/>
                <w:numId w:val="19"/>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Formal balancing and reconciliation of trial balances within Business Central to eliminate legacy imbalance conditions; and </w:t>
            </w:r>
          </w:p>
          <w:p>
            <w:pPr>
              <w:pStyle w:val="BodyText"/>
              <w:numPr>
                <w:ilvl w:val="0"/>
                <w:numId w:val="19"/>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Embrace operation cut-off period and refresher trainings on basic accounting, e.g., how to reverse correctly and when to reverse or adjust.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1888514901"/>
            <w:r>
              <w:rPr/>
              <w:t xml:space="preserve"> 003 Segregation of Duties Design Weaknesses in Master Data and High-Risk Transaction Processing</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Segregation of Duties &amp; Access Governance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Project steering committee Lead and Process Owners</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February 20, 2026</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ISO 27001 A.6.1.2 (Segregation of Duties) and COSO Principle 10 require organizations to design preventive controls that reduce the risk of fraud and unauthorized transactions by ensuring incompatible duties are segregated.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COBIT DSS05 further requires that access rights and privileged activities be restricted, formally approved, and system-enforced rather than reliant on trust-based controls.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Industry best practice in ERP environments requires: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Mandatory workflow approval for critical master data creation prior to activation.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Segregation between record creation and transaction processing.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System-enforced restrictions preventing users from initiating and approving incompatible transactions.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Preventive controls rather than reliance solely on logging or post-facto review.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Internal Audit reviewed ERP implementation governance and post-go-live access configurations.</w:t>
            </w:r>
          </w:p>
          <w:p>
            <w:pPr>
              <w:pStyle w:val="Heading4"/>
              <w:spacing w:before="120" w:after="240"/>
              <w:ind w:left="113"/>
              <w:rPr>
                <w:rFonts w:asciiTheme="minorHAnsi" w:hAnsiTheme="minorHAnsi" w:cstheme="minorBidi" w:eastAsia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Positive Observation – Implementation Governance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ERP migration project charter formally defined scope, roles, and the approval matrix.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Steering committee oversight was operational during implementation.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Governance structures were appropriately constituted during Phase One.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confirms governance structure during deployment was formally established.</w:t>
            </w:r>
          </w:p>
          <w:p>
            <w:pPr>
              <w:pStyle w:val="Heading4"/>
              <w:spacing w:before="120" w:after="240"/>
              <w:ind w:left="113"/>
              <w:rPr>
                <w:rFonts w:asciiTheme="minorHAnsi" w:hAnsiTheme="minorHAnsi" w:cstheme="minorBidi" w:eastAsia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Post-Implementation SoD and Access Governance Gaps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Despite structured implementation governance, a post-go-live review of Microsoft Dynamics 365 Business Central identified material design weaknesses within the live access environment.</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Absence of Mandatory Workflow Approval for Critical Master Data</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Testing confirmed that the system permits creation and modification of the following master records without an enforced approval workflow prior to use: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Customer records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Vendor records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Bank accounts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Item records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Employee records (including payroll loading)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There is no system-enforced requirement for independent validation before these records become operationally active.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creates a structural exposure whereby individuals with creation rights can introduce records directly into the system without segregation or approval. </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Incompatible Role Assignments in Managerial Functions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Role review identified that: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Finance manager can create vendors, customers, and bank accounts.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HR manager can create employee records and load them into payroll.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Certain managerial roles can initiate and process financial transactions such as payment vouchers.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allows combinations of incompatible duties, including: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Vendor creation and payment initiation.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Employee creation and payroll activation.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Bank account creation and fund disbursement involvement.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There is no automated restriction preventing high-privilege users from initiating and approving incompatible activities. </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Preventive Controls Not System-Enforced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Although audit logs are enabled, the system primarily relies on: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Trust-based role assignment.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Informal managerial supervision.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Detective review rather than preventive restriction.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Detective controls do not compensate for the absence of preventive SoD enforcement at the point of transaction initiation. </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 Structural Risk vs Observed Abuse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evidence of actual abuse or fraudulent activity was identified during testing.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the exposure is structural. The control environment allows abuse without independent approval at the point of entry. Risk is inherent in system design rather than in observed misuse. </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Root Causes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Workflow approval features within Business Central are not configured for master data governance.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Excessive access rights granted during post-go-live stabilization without subsequent role hardening.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21"/>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Fictitious vendor creation followed by unauthorized payments. </w:t>
            </w:r>
          </w:p>
          <w:p>
            <w:pPr>
              <w:pStyle w:val="BodyText"/>
              <w:numPr>
                <w:ilvl w:val="0"/>
                <w:numId w:val="21"/>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Ghost employee creation and payroll fraud. </w:t>
            </w:r>
          </w:p>
          <w:p>
            <w:pPr>
              <w:pStyle w:val="BodyText"/>
              <w:numPr>
                <w:ilvl w:val="0"/>
                <w:numId w:val="21"/>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Unauthorized bank account setup for diversion of funds. </w:t>
            </w:r>
          </w:p>
          <w:p>
            <w:pPr>
              <w:pStyle w:val="BodyText"/>
              <w:numPr>
                <w:ilvl w:val="0"/>
                <w:numId w:val="21"/>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Circumvention of financial approval hierarchies. </w:t>
            </w:r>
          </w:p>
          <w:p>
            <w:pPr>
              <w:pStyle w:val="BodyText"/>
              <w:numPr>
                <w:ilvl w:val="0"/>
                <w:numId w:val="21"/>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fraud risk exposure within financial and payroll cycles.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implement a system-enforced segregation framework by: </w:t>
            </w:r>
          </w:p>
          <w:p>
            <w:pPr>
              <w:pStyle w:val="BodyText"/>
              <w:numPr>
                <w:ilvl w:val="0"/>
                <w:numId w:val="22"/>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Configuring mandatory approval workflows for all critical master data creation (vendors, customers, employees, bank accounts, items) prior to activation; and </w:t>
            </w:r>
          </w:p>
          <w:p>
            <w:pPr>
              <w:pStyle w:val="BodyText"/>
              <w:numPr>
                <w:ilvl w:val="0"/>
                <w:numId w:val="22"/>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Reviewing and restricting managerial roles to eliminate incompatible access combinations, ensuring that no user can both create high-risk master data and initiate related financial transactions.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366803133"/>
            <w:r>
              <w:rPr/>
              <w:t xml:space="preserve"> 004 Inconsistent UAT Governance and Incomplete ERP User Documentation Prior to and Following Go-Live</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ERP Integration &amp; Interface Controls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ERP Implementation Project Lead</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February 20, 2026</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ISO 27001 A.14.2.8 (System Acceptance Testing) requires formal testing, documentation, and business sign-off prior to production deployment.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COBIT BAI07 and ITIL Service Transitions require: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Standardized User Acceptance Testing (UAT) scripts.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Formal defect tracking, remediation evidence, and retesting approval.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Documented user procedures aligned to configured system workflows.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Evidence that business owners formally accept system readiness prior to go-live.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Industry best practice further requires that critical financial workflows be supported by standardized user manuals to ensure consistent execution and control reliability.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Internal Audit performed: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UAT Script Completion Review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Training Material Validation  </w:t>
            </w:r>
          </w:p>
          <w:p>
            <w:pPr>
              <w:pStyle w:val="Heading4"/>
              <w:spacing w:before="120" w:after="240"/>
              <w:ind w:left="113"/>
              <w:rPr>
                <w:rFonts w:asciiTheme="minorHAnsi" w:hAnsiTheme="minorHAnsi" w:cstheme="minorBidi" w:eastAsia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UAT Governance Weakness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Signed UAT scripts were requested for key workflows, including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Procure-to-pay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Order-to-cash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Advances/Imprest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Payroll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Core finance modules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While signed documentation was provided for a limited number of processes, the majority of critical workflows did not have formally signed and approved UAT scripts on file.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Additionally: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Testing evidence was, in several instances, informal or incomplete.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Final business sign-off prior to go-live was not consistently documented.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An issue log was maintained; however: </w:t>
            </w:r>
          </w:p>
          <w:p>
            <w:pPr>
              <w:pStyle w:val="BodyText"/>
              <w:numPr>
                <w:ilvl w:val="1"/>
                <w:numId w:val="23"/>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There was no consistent linkage between identified defects and documented remediation evidence. </w:t>
            </w:r>
          </w:p>
          <w:p>
            <w:pPr>
              <w:pStyle w:val="BodyText"/>
              <w:numPr>
                <w:ilvl w:val="1"/>
                <w:numId w:val="23"/>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Formal retesting and business re-approval were not consistently evidenced. </w:t>
            </w:r>
          </w:p>
          <w:p>
            <w:pPr>
              <w:pStyle w:val="BodyText"/>
              <w:numPr>
                <w:ilvl w:val="1"/>
                <w:numId w:val="23"/>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Standardized UAT sign-off templates were not uniformly used.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Although UAT appears to have been operationally performed, it was not executed in a controlled, standardized, or fully documented manner across all modules.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weakens the audit trail, demonstrating that controls, integrations, and configurations were comprehensively validated prior to production deployment. </w:t>
            </w:r>
          </w:p>
          <w:p>
            <w:pPr>
              <w:pStyle w:val="Heading4"/>
              <w:spacing w:before="120" w:after="240"/>
              <w:ind w:left="113"/>
              <w:rPr>
                <w:rFonts w:asciiTheme="minorHAnsi" w:hAnsiTheme="minorHAnsi" w:cstheme="minorBidi" w:eastAsia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Incomplete ERP User Documentation for Core Finance Processes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Training materials were reviewed for both the staff portal and core ERP modules.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Positive Observation: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Staff portal documentation is comprehensive and structured and includes clear step-by-step guidance with screenshots.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staff portal component demonstrates adequate user enablement documentation.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For several core ERP finance workflows—including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Payment Voucher processing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Bank Reconciliation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Fixed Asset creation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Formalized user manuals and standardized step-by-step procedural guides were not available at the time of review.</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While these processes are operational, documentation remains pending.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absence of structured manuals for high-risk financial workflows creates reliance on: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Institutional knowledge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Key personnel experience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Informal on-the-job training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represents a documentation and operational governance gap rather than a system functionality failure. </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Root Causes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Accelerated go-live timelines prioritized system deployment over documentation completeness. </w:t>
            </w:r>
          </w:p>
          <w:p>
            <w:pPr>
              <w:pStyle w:val="BodyText"/>
              <w:numPr>
                <w:ilvl w:val="0"/>
                <w:numId w:val="2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Absence of a standardized ERP deployment governance framework enforcing formal UAT sign-off and user documentation before production release.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2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Undetected configuration or control weaknesses embedded into production. </w:t>
            </w:r>
          </w:p>
          <w:p>
            <w:pPr>
              <w:pStyle w:val="BodyText"/>
              <w:numPr>
                <w:ilvl w:val="0"/>
                <w:numId w:val="2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Inconsistent execution of financial workflows due to lack of standardized guidance. </w:t>
            </w:r>
          </w:p>
          <w:p>
            <w:pPr>
              <w:pStyle w:val="BodyText"/>
              <w:numPr>
                <w:ilvl w:val="0"/>
                <w:numId w:val="2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dependency on key personnel for process knowledge. </w:t>
            </w:r>
          </w:p>
          <w:p>
            <w:pPr>
              <w:pStyle w:val="BodyText"/>
              <w:numPr>
                <w:ilvl w:val="0"/>
                <w:numId w:val="2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Reduced defensibility during external audits regarding system readiness validation.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formalize an ERP deployment and operational readiness framework requiring: </w:t>
            </w:r>
          </w:p>
          <w:p>
            <w:pPr>
              <w:pStyle w:val="BodyText"/>
              <w:numPr>
                <w:ilvl w:val="0"/>
                <w:numId w:val="25"/>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Standardized UAT documentation, defect remediation tracking, retesting evidence, and mandatory business owner sign-off prior to any major deployment or module release; and </w:t>
            </w:r>
          </w:p>
          <w:p>
            <w:pPr>
              <w:pStyle w:val="BodyText"/>
              <w:numPr>
                <w:ilvl w:val="0"/>
                <w:numId w:val="25"/>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Completion and formal approval of structured user manuals for all core finance workflows, aligned to live system configuration and approval hierarchies.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1126408922"/>
            <w:r>
              <w:rPr/>
              <w:t xml:space="preserve"> 002 Absence of Formal Field-Level Data Mapping Governance Despite Successful Operational Transformation</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Business Process Configuration &amp; Control Effectiveness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Head of Project Steering Committee</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February 20, 2026</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ISO 27001 A.14.2.5 (Secure System Engineering Principles) and A.12.1.2 (Change Management) require that system migrations be supported by documented transformation specifications demonstrating traceability from source to target fields.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COBIT BAI03 and BAI06 further require that data conversion and migration activities be supported by approved mapping documentation defining transformation logic, validation rules, and reconciliation controls.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Industry best practice requires that: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Every critical legacy field must have a documented mapping rule.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Transformations (e.g., reclassification, concatenation, restructuring) must be formally approved.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Migration documentation must allow independent re-performance and audit verification.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Internal Audit performed two complementary procedures: </w:t>
            </w:r>
          </w:p>
          <w:p>
            <w:pPr>
              <w:pStyle w:val="BodyText"/>
              <w:numPr>
                <w:ilvl w:val="0"/>
                <w:numId w:val="27"/>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Field-Mapping Review </w:t>
            </w:r>
          </w:p>
          <w:p>
            <w:pPr>
              <w:pStyle w:val="BodyText"/>
              <w:numPr>
                <w:ilvl w:val="0"/>
                <w:numId w:val="27"/>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Data Transformation Testing </w:t>
            </w:r>
          </w:p>
          <w:p>
            <w:pPr>
              <w:pStyle w:val="Heading4"/>
              <w:spacing w:before="120" w:after="240"/>
              <w:ind w:left="113"/>
              <w:rPr>
                <w:rFonts w:asciiTheme="minorHAnsi" w:hAnsiTheme="minorHAnsi" w:cstheme="minorBidi" w:eastAsia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Positive Operational Results (Transformation Testing)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Testing of 20 sampled date fields confirmed: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Correct transformation from DD-MM-YYYY to YYYY-MM-DD format.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truncation or sequencing errors.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Accurate preservation of transaction dates.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Business process walkthroughs confirmed: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PV, LPO, Advance/Imprest, and Payroll processes exist.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Workflow logic is functional.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Accounting entries post correctly to the General Ledger.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broken process dependencies were identified.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These results provide reasonable assurance that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system functionality and transformation logic are operationally sound</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Heading4"/>
              <w:spacing w:before="120" w:after="240"/>
              <w:ind w:left="113"/>
              <w:rPr>
                <w:rFonts w:asciiTheme="minorHAnsi" w:hAnsiTheme="minorHAnsi" w:cstheme="minorBidi" w:eastAsia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Governance and Documentation Gap (Field-Mapping Review)</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Despite operational continuity, no documented data-mapping matrix was provided demonstrating: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 legacy fields (e.g., G/L Entry No., Project Codes, Site Codes, Dimension Values, Donor_ID) were mapped to Business Central fields.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Whether transformations were one-to-one, concatenated, reclassified, or restructured.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 dimension set conversions were handled.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Whether transformation logic was validated and formally approved.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 renamed entities (e.g., Jobs to Projects) were aligned.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Business Central introduces structural differences from NAV 22016,including: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Revised table architecture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Enhanced dimension handling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Additional metadata fields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Modified posting logic layers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Without a documented mapping matrix: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There is no auditable trail demonstrating field-level traceability.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Transformation logic cannot be independently re-performed.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Field lineage cannot be verified for future audits or system upgrades.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migration relied primarily on institutional knowledge of consultants and developers rather than a formally approved transformation specification.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represents a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governance and documentation control gap</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not a confirmed data integrity failure. </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Root Causes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Accelerated migration timelines prioritized functional continuity over documentation completeness. </w:t>
            </w:r>
          </w:p>
          <w:p>
            <w:pPr>
              <w:pStyle w:val="BodyText"/>
              <w:numPr>
                <w:ilvl w:val="0"/>
                <w:numId w:val="2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Overreliance on vendor and consultant expertise without enforcing formal mapping artifact retention.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2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Inability to independently verify field transformation logic in future audits. </w:t>
            </w:r>
          </w:p>
          <w:p>
            <w:pPr>
              <w:pStyle w:val="BodyText"/>
              <w:numPr>
                <w:ilvl w:val="0"/>
                <w:numId w:val="2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risk during future ERP upgrades, integrations, or data warehouse projects. </w:t>
            </w:r>
          </w:p>
          <w:p>
            <w:pPr>
              <w:pStyle w:val="BodyText"/>
              <w:numPr>
                <w:ilvl w:val="0"/>
                <w:numId w:val="2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Potential reporting inconsistencies if transformation assumptions are misunderstood. </w:t>
            </w:r>
          </w:p>
          <w:p>
            <w:pPr>
              <w:pStyle w:val="BodyText"/>
              <w:numPr>
                <w:ilvl w:val="0"/>
                <w:numId w:val="28"/>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Knowledge dependency risk if key personnel exit the organization.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develop and formally approve a retrospective data-mapping register documenting: </w:t>
            </w:r>
          </w:p>
          <w:p>
            <w:pPr>
              <w:pStyle w:val="BodyText"/>
              <w:numPr>
                <w:ilvl w:val="0"/>
                <w:numId w:val="29"/>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All critical legacy-to-target field mappings </w:t>
            </w:r>
          </w:p>
          <w:p>
            <w:pPr>
              <w:pStyle w:val="BodyText"/>
              <w:numPr>
                <w:ilvl w:val="0"/>
                <w:numId w:val="29"/>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Transformation rules applied (one-to-one, concatenation, reclassification, dimension restructuring) </w:t>
            </w:r>
          </w:p>
          <w:p>
            <w:pPr>
              <w:pStyle w:val="BodyText"/>
              <w:numPr>
                <w:ilvl w:val="0"/>
                <w:numId w:val="29"/>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Validation controls performed </w:t>
            </w:r>
          </w:p>
          <w:p>
            <w:pPr>
              <w:pStyle w:val="BodyText"/>
              <w:numPr>
                <w:ilvl w:val="0"/>
                <w:numId w:val="29"/>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Responsible owner and approval evidence </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documentation should be retained as a controlled ERP governance artifact to support future audits, upgrades, and integrations.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9" w:name="_Toc1680472496"/>
            <w:r>
              <w:rPr/>
              <w:t xml:space="preserve"> 005 ERP Change Management Framework Not Fully Formalized or Tailored to ERP-Specific Risk Exposure</w:t>
            </w:r>
            <w:bookmarkEnd w:id="9"/>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ERP Change Management &amp; Post-Implementation Governance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ERP Project Implementation Lead</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February 20, 2026</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ISO 27001 A.12.1.2 (Change Management) requires that changes to information systems be formally controlled, risk-assessed, approved, tested, and documented prior to implementation.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COBIT BAI06 and ITIL Change Enablement further require: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Clear classification of changes (standard, emergency, major).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Segregation of duties between development/configuration and production migration.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Formal risk and impact assessment prior to deployment.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Mandatory post-implementation review (PIR) to confirm effectiveness.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Centralized documentation and audit trail integrity.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ERP environments, particularly financial systems such as Microsoft Dynamics 365 Business Central, require enhanced change governance due to their impact on financial reporting, payroll, procurement, and donor accountability.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Internal Audit reviewed the documented ICT change management framework applicable post-go-live and tested a risk-based sample of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implemented ERP changes.</w:t>
            </w:r>
          </w:p>
          <w:p>
            <w:pPr>
              <w:pStyle w:val="Heading4"/>
              <w:spacing w:before="120" w:after="240"/>
              <w:ind w:left="113"/>
              <w:rPr>
                <w:rFonts w:asciiTheme="minorHAnsi" w:hAnsiTheme="minorHAnsi" w:cstheme="minorBidi" w:eastAsia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Positive Observations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formal ICT change management policy exists.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Changes sampled generally had some level of documented approval.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Major configuration changes included evidence of testing.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malicious or unauthorized alterations were identified.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Change activity appears operationally controlled at a basic level.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These indicate that change governance is present and partially functioning. </w:t>
            </w:r>
          </w:p>
          <w:p>
            <w:pPr>
              <w:pStyle w:val="Heading4"/>
              <w:spacing w:before="120" w:after="240"/>
              <w:ind w:left="113"/>
              <w:rPr>
                <w:rFonts w:asciiTheme="minorHAnsi" w:hAnsiTheme="minorHAnsi" w:cstheme="minorBidi" w:eastAsia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Identified Control Weaknesses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the framework is not sufficiently tailored to ERP-specific risks and exhibits moderate maturity gaps:</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Lack of ERP-Specific Change Classification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Procedures do not clearly distinguish between standard, emergency, minor, and high-risk ERP configuration changes.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Emergency fixes during stabilization were implemented without consistent retrospective review documentation. </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Informal Approval Evidence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Several approvals were evidenced via email correspondence rather than through a centralized change management system.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weakens audit trail integrity and increases reliance on fragmented documentation. </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Inconsistent Risk and Impact Assessment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Formal risk classification was not consistently documented.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Changes were sometimes executed based on operational urgency without structured assessment of: </w:t>
            </w:r>
          </w:p>
          <w:p>
            <w:pPr>
              <w:pStyle w:val="BodyText"/>
              <w:numPr>
                <w:ilvl w:val="1"/>
                <w:numId w:val="30"/>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Financial reporting impact </w:t>
            </w:r>
          </w:p>
          <w:p>
            <w:pPr>
              <w:pStyle w:val="BodyText"/>
              <w:numPr>
                <w:ilvl w:val="1"/>
                <w:numId w:val="30"/>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Integration dependencies </w:t>
            </w:r>
          </w:p>
          <w:p>
            <w:pPr>
              <w:pStyle w:val="BodyText"/>
              <w:numPr>
                <w:ilvl w:val="1"/>
                <w:numId w:val="30"/>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Downstream process effects </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 Incomplete User Acceptance for Minor/Emergency Changes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Major changes included documented testing.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Minor and emergency changes did not consistently include formal user acceptance evidence prior to deployment. </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 Segregation of Duties in Production Migration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certain instances, the same personnel configured and migrated changes into production.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While no material misstatements were identified, this represents a preventive control weakness. </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 Absence of Structured Post-Implementation Review</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There is no mandatory requirement for post-implementation evaluation to confirm that changes achieved intended outcomes and did not introduce new control weaknesses.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the ERP change management framework is partially designed and partially operating eeffectively butrelies heavily on informal practices and manual oversight rather than system-enforced and ERP-specific governance controls. </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Root Causes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Application of a generic ICT change policy without refinement for ERP financial system complexity. </w:t>
            </w:r>
          </w:p>
          <w:p>
            <w:pPr>
              <w:pStyle w:val="BodyText"/>
              <w:numPr>
                <w:ilvl w:val="0"/>
                <w:numId w:val="3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Stabilization-phase urgency leading to relaxed documentation and formalization discipline.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31"/>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Unauthorized or inadequately assessed ERP configuration changes. </w:t>
            </w:r>
          </w:p>
          <w:p>
            <w:pPr>
              <w:pStyle w:val="BodyText"/>
              <w:numPr>
                <w:ilvl w:val="0"/>
                <w:numId w:val="31"/>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Configuration drift affecting financial reporting accuracy. </w:t>
            </w:r>
          </w:p>
          <w:p>
            <w:pPr>
              <w:pStyle w:val="BodyText"/>
              <w:numPr>
                <w:ilvl w:val="0"/>
                <w:numId w:val="31"/>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Weak audit trail during future external or regulatory reviews. </w:t>
            </w:r>
          </w:p>
          <w:p>
            <w:pPr>
              <w:pStyle w:val="BodyText"/>
              <w:numPr>
                <w:ilvl w:val="0"/>
                <w:numId w:val="31"/>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operational disruption from poorly assessed emergency changes.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formalize an ERP-specific change management addendum that: </w:t>
            </w:r>
          </w:p>
          <w:p>
            <w:pPr>
              <w:pStyle w:val="BodyText"/>
              <w:numPr>
                <w:ilvl w:val="0"/>
                <w:numId w:val="32"/>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Defines structured change classification (standard, emergency, high-risk) with corresponding approval, testing, and documentation requirements; and </w:t>
            </w:r>
          </w:p>
          <w:p>
            <w:pPr>
              <w:pStyle w:val="BodyText"/>
              <w:numPr>
                <w:ilvl w:val="0"/>
                <w:numId w:val="32"/>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Enforces centralized change logging, segregation of configuration and production migration duties, and mandatory post-implementation review for material ERP changes.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ERP Post-Go-Live &amp; Data Integrity Audit – Microsoft Dynamics 365 Business Central Report | Generated on March  3,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24</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2eafdaa0"/>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3">
    <w:multiLevelType w:val="hybridMultilevel"/>
    <w:tmpl w:val="7af23759"/>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4">
    <w:multiLevelType w:val="hybridMultilevel"/>
    <w:tmpl w:val="179e18d2"/>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5">
    <w:multiLevelType w:val="hybridMultilevel"/>
    <w:tmpl w:val="93b59327"/>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6">
    <w:multiLevelType w:val="hybridMultilevel"/>
    <w:tmpl w:val="2d8461ae"/>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7">
    <w:multiLevelType w:val="hybridMultilevel"/>
    <w:tmpl w:val="79c579bd"/>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8">
    <w:multiLevelType w:val="hybridMultilevel"/>
    <w:tmpl w:val="ce65ea02"/>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9">
    <w:multiLevelType w:val="hybridMultilevel"/>
    <w:tmpl w:val="9a7178eb"/>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0">
    <w:multiLevelType w:val="hybridMultilevel"/>
    <w:tmpl w:val="25819b22"/>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21">
    <w:multiLevelType w:val="hybridMultilevel"/>
    <w:tmpl w:val="70891d92"/>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22">
    <w:multiLevelType w:val="hybridMultilevel"/>
    <w:tmpl w:val="6c6bd663"/>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3">
    <w:multiLevelType w:val="hybridMultilevel"/>
    <w:tmpl w:val="f00081ca"/>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24">
    <w:multiLevelType w:val="hybridMultilevel"/>
    <w:tmpl w:val="917897d1"/>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25">
    <w:multiLevelType w:val="hybridMultilevel"/>
    <w:tmpl w:val="5f9f1a0b"/>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6">
    <w:multiLevelType w:val="hybridMultilevel"/>
    <w:tmpl w:val="4e3f7dcf"/>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27">
    <w:multiLevelType w:val="hybridMultilevel"/>
    <w:tmpl w:val="ec77eb2a"/>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28">
    <w:multiLevelType w:val="hybridMultilevel"/>
    <w:tmpl w:val="3bd11dfc"/>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29">
    <w:multiLevelType w:val="hybridMultilevel"/>
    <w:tmpl w:val="be3fcc47"/>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30">
    <w:multiLevelType w:val="hybridMultilevel"/>
    <w:tmpl w:val="db8cf469"/>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31">
    <w:multiLevelType w:val="hybridMultilevel"/>
    <w:tmpl w:val="300a32f3"/>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32">
    <w:multiLevelType w:val="hybridMultilevel"/>
    <w:tmpl w:val="95e16011"/>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paragraph" w:styleId="Heading4">
    <w:name w:val="heading 4"/>
    <w:pPr/>
    <w:rPr>
      <w:b w:val="on"/>
      <w:sz w:val="24"/>
      <w:szCs w:val="24"/>
    </w:r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Medium</c:v>
              </c:pt>
              <c:pt idx="1">
                <c:v>High</c:v>
              </c:pt>
            </c:strLit>
          </c:cat>
          <c:val>
            <c:numLit>
              <c:formatCode>General</c:formatCode>
              <c:ptCount val="2"/>
              <c:pt idx="0">
                <c:v>2</c:v>
              </c:pt>
              <c:pt idx="1">
                <c:v>3</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5"/>
              <c:pt idx="0">
                <c:v>Head of Project Steering Committee</c:v>
              </c:pt>
              <c:pt idx="1">
                <c:v>Project steering committee Lead and Process Owners</c:v>
              </c:pt>
              <c:pt idx="2">
                <c:v>ERP Implementation Project Lead</c:v>
              </c:pt>
              <c:pt idx="3">
                <c:v>ERP Project Implementation Lead</c:v>
              </c:pt>
              <c:pt idx="4">
                <c:v>Head of Finance, Procurement and Fleet</c:v>
              </c:pt>
            </c:strLit>
          </c:cat>
          <c:val>
            <c:numLit>
              <c:formatCode>General</c:formatCode>
              <c:ptCount val="5"/>
              <c:pt idx="0">
                <c:v>1</c:v>
              </c:pt>
              <c:pt idx="1">
                <c:v>1</c:v>
              </c:pt>
              <c:pt idx="2">
                <c:v>1</c:v>
              </c:pt>
              <c:pt idx="3">
                <c:v>1</c:v>
              </c:pt>
              <c:pt idx="4">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24</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2026-03-03T05:19:00Z</dcterms:created>
  <dcterms:modified xsi:type="dcterms:W3CDTF">2026-03-03T05:19:00Z</dcterms:modified>
</cp:coreProperties>
</file>