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0E97C" w14:textId="5850C855" w:rsidR="00FD786C" w:rsidRDefault="00FD786C" w:rsidP="00FD786C">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D786C">
        <w:rPr>
          <w:rFonts w:ascii="Times New Roman" w:eastAsia="Times New Roman" w:hAnsi="Times New Roman" w:cs="Times New Roman"/>
          <w:b/>
          <w:bCs/>
          <w:kern w:val="0"/>
          <w:sz w:val="36"/>
          <w:szCs w:val="36"/>
          <w14:ligatures w14:val="none"/>
        </w:rPr>
        <w:t>Payroll Processing Accuracy &amp; Configuration Review – Microsoft Dynamics 365 Business Central (Post-Migration)</w:t>
      </w:r>
    </w:p>
    <w:p w14:paraId="0D38E0B5" w14:textId="301DC87B" w:rsidR="00F81027" w:rsidRPr="00F81027" w:rsidRDefault="00F81027" w:rsidP="00F810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027">
        <w:rPr>
          <w:rFonts w:ascii="Times New Roman" w:eastAsia="Times New Roman" w:hAnsi="Times New Roman" w:cs="Times New Roman"/>
          <w:b/>
          <w:bCs/>
          <w:kern w:val="0"/>
          <w:sz w:val="36"/>
          <w:szCs w:val="36"/>
          <w14:ligatures w14:val="none"/>
        </w:rPr>
        <w:t>Background</w:t>
      </w:r>
    </w:p>
    <w:p w14:paraId="5A113913"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The Kenya Red Cross Society (KRCS) recently transitioned its core enterprise systems from Microsoft Dynamics NAV 2016 to Microsoft Dynamics 365 Business Central as part of a broader organizational effort to modernize financial and operational management systems. The ERP migration consolidated multiple legacy processes into a centralized cloud-based platform designed to improve efficiency, data consistency, reporting accuracy, and internal control oversight.</w:t>
      </w:r>
    </w:p>
    <w:p w14:paraId="61C76604"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As part of the broader ERP post-go-live audit, Internal Audit performed preliminary reviews of several operational modules within the upgraded system, including payroll processing. During this review, it was observed that certain payroll calculations—specifically relating to excess pension computations—were not being calculated accurately following the migration. While the issue appears to stem from configuration or parameterization within the upgraded system, the observation raised broader concerns regarding the accuracy and integrity of payroll calculations within the new ERP environment.</w:t>
      </w:r>
    </w:p>
    <w:p w14:paraId="39A198AC"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Payroll processing is inherently sensitive given its direct impact on employee compensation, statutory deductions, pension contributions, and compliance with employment and tax regulations. Errors within payroll systems can lead to financial loss, employee dissatisfaction, regulatory non-compliance, and reputational risk. Given the criticality of payroll and the reliance on automated calculations within Microsoft Dynamics 365 Business Central, there is a need for a focused review to determine whether the system is correctly configured to perform payroll computations across the entire employee population.</w:t>
      </w:r>
    </w:p>
    <w:p w14:paraId="25DD7DA6" w14:textId="7327B54B"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This payroll-focused review therefore seeks to provide independent assurance that payroll calculations—including earnings, statutory deductions, pension contributions, and related adjustments—are operating accurately and consistently across all employee categories, from lower earning staff to senior management.</w:t>
      </w:r>
    </w:p>
    <w:p w14:paraId="3D2A1954" w14:textId="77777777" w:rsidR="00F81027" w:rsidRPr="00F81027" w:rsidRDefault="00F81027" w:rsidP="00F810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027">
        <w:rPr>
          <w:rFonts w:ascii="Times New Roman" w:eastAsia="Times New Roman" w:hAnsi="Times New Roman" w:cs="Times New Roman"/>
          <w:b/>
          <w:bCs/>
          <w:kern w:val="0"/>
          <w:sz w:val="36"/>
          <w:szCs w:val="36"/>
          <w14:ligatures w14:val="none"/>
        </w:rPr>
        <w:t>Purpose</w:t>
      </w:r>
    </w:p>
    <w:p w14:paraId="131A850F"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The purpose of this review is to provide assurance that payroll processing within Microsoft Dynamics 365 Business Central is accurately configured and operating effectively following the ERP migration. Specifically, the review aims to determine whether payroll calculations—including salaries, allowances, pension contributions, excess pension adjustments, statutory deductions, and net pay—are correctly computed and applied across the full staff population.</w:t>
      </w:r>
    </w:p>
    <w:p w14:paraId="76E6C8C2" w14:textId="4DEB8003" w:rsid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The review will also assess whether the payroll configuration, calculation logic, and parameter settings within the ERP system support accurate payroll processing and compliance with applicable statutory and organizational payroll policies.</w:t>
      </w:r>
    </w:p>
    <w:p w14:paraId="7469AFFB" w14:textId="77777777" w:rsidR="00F81027" w:rsidRDefault="00F81027" w:rsidP="00F81027">
      <w:pPr>
        <w:spacing w:before="100" w:beforeAutospacing="1" w:after="100" w:afterAutospacing="1" w:line="240" w:lineRule="auto"/>
        <w:rPr>
          <w:rFonts w:ascii="Times New Roman" w:eastAsia="Times New Roman" w:hAnsi="Times New Roman" w:cs="Times New Roman"/>
          <w:kern w:val="0"/>
          <w14:ligatures w14:val="none"/>
        </w:rPr>
      </w:pPr>
    </w:p>
    <w:p w14:paraId="578BEC61" w14:textId="77777777" w:rsidR="00FD786C" w:rsidRPr="00F81027" w:rsidRDefault="00FD786C" w:rsidP="00F81027">
      <w:pPr>
        <w:spacing w:before="100" w:beforeAutospacing="1" w:after="100" w:afterAutospacing="1" w:line="240" w:lineRule="auto"/>
        <w:rPr>
          <w:rFonts w:ascii="Times New Roman" w:eastAsia="Times New Roman" w:hAnsi="Times New Roman" w:cs="Times New Roman"/>
          <w:kern w:val="0"/>
          <w14:ligatures w14:val="none"/>
        </w:rPr>
      </w:pPr>
    </w:p>
    <w:p w14:paraId="0EB0ADA5" w14:textId="77777777" w:rsidR="00F81027" w:rsidRPr="00F81027" w:rsidRDefault="00F81027" w:rsidP="00F810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1027">
        <w:rPr>
          <w:rFonts w:ascii="Times New Roman" w:eastAsia="Times New Roman" w:hAnsi="Times New Roman" w:cs="Times New Roman"/>
          <w:b/>
          <w:bCs/>
          <w:kern w:val="0"/>
          <w:sz w:val="36"/>
          <w:szCs w:val="36"/>
          <w14:ligatures w14:val="none"/>
        </w:rPr>
        <w:t>Scope</w:t>
      </w:r>
    </w:p>
    <w:p w14:paraId="2B024D76"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The review will focus on payroll processing within Microsoft Dynamics 365 Business Central following the ERP migration and will include, but not be limited to, the following areas:</w:t>
      </w:r>
    </w:p>
    <w:p w14:paraId="12627C64"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b/>
          <w:bCs/>
          <w:kern w:val="0"/>
          <w14:ligatures w14:val="none"/>
        </w:rPr>
        <w:t>Payroll Calculation Accuracy</w:t>
      </w:r>
    </w:p>
    <w:p w14:paraId="674AB79B" w14:textId="77777777" w:rsidR="00F81027" w:rsidRPr="00F81027" w:rsidRDefault="00F81027" w:rsidP="00F81027">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Verification that payroll calculations for salaries, allowances, statutory deductions, pension contributions, and excess pension adjustments are correctly configured and calculated within the ERP.</w:t>
      </w:r>
    </w:p>
    <w:p w14:paraId="3872A6C0" w14:textId="77777777" w:rsidR="00F81027" w:rsidRPr="00F81027" w:rsidRDefault="00F81027" w:rsidP="00F81027">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Testing payroll computations across a representative sample of employees spanning different salary levels and employment categories.</w:t>
      </w:r>
    </w:p>
    <w:p w14:paraId="2173EDBE"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b/>
          <w:bCs/>
          <w:kern w:val="0"/>
          <w14:ligatures w14:val="none"/>
        </w:rPr>
        <w:t>Payroll Configuration and System Parameters</w:t>
      </w:r>
    </w:p>
    <w:p w14:paraId="77744B44" w14:textId="77777777" w:rsidR="00F81027" w:rsidRPr="00F81027" w:rsidRDefault="00F81027" w:rsidP="00F81027">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Review of payroll setup within Business Central, including pay elements, pension calculation rules, deduction formulas, and parameter configurations affecting payroll calculations.</w:t>
      </w:r>
    </w:p>
    <w:p w14:paraId="48359695"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b/>
          <w:bCs/>
          <w:kern w:val="0"/>
          <w14:ligatures w14:val="none"/>
        </w:rPr>
        <w:t>Payroll Processing Controls</w:t>
      </w:r>
    </w:p>
    <w:p w14:paraId="4ADEBDA7" w14:textId="77777777" w:rsidR="00F81027" w:rsidRPr="00F81027" w:rsidRDefault="00F81027" w:rsidP="00F81027">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Evaluation of system controls governing payroll processing, including approval workflows, segregation of duties, and review procedures prior to payroll finalization.</w:t>
      </w:r>
    </w:p>
    <w:p w14:paraId="5E1E7C3E" w14:textId="77777777" w:rsidR="00F81027" w:rsidRP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b/>
          <w:bCs/>
          <w:kern w:val="0"/>
          <w14:ligatures w14:val="none"/>
        </w:rPr>
        <w:t>Statutory and Pension Compliance</w:t>
      </w:r>
    </w:p>
    <w:p w14:paraId="529148CA" w14:textId="77777777" w:rsidR="00F81027" w:rsidRPr="00F81027" w:rsidRDefault="00F81027" w:rsidP="00F81027">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Verification that payroll deductions and contributions align with applicable statutory requirements and organizational policies, including treatment of excess pension calculations where applicable.</w:t>
      </w:r>
    </w:p>
    <w:p w14:paraId="2AA2474C" w14:textId="77777777" w:rsidR="00F81027" w:rsidRDefault="00F81027" w:rsidP="00F81027">
      <w:pPr>
        <w:spacing w:before="100" w:beforeAutospacing="1" w:after="100" w:afterAutospacing="1" w:line="240" w:lineRule="auto"/>
        <w:jc w:val="both"/>
        <w:rPr>
          <w:rFonts w:ascii="Times New Roman" w:eastAsia="Times New Roman" w:hAnsi="Times New Roman" w:cs="Times New Roman"/>
          <w:kern w:val="0"/>
          <w14:ligatures w14:val="none"/>
        </w:rPr>
      </w:pPr>
      <w:r w:rsidRPr="00F81027">
        <w:rPr>
          <w:rFonts w:ascii="Times New Roman" w:eastAsia="Times New Roman" w:hAnsi="Times New Roman" w:cs="Times New Roman"/>
          <w:kern w:val="0"/>
          <w14:ligatures w14:val="none"/>
        </w:rPr>
        <w:t>The review will focus on payroll transactions processed after the migration to Microsoft Dynamics 365 Business Central and will evaluate whether the system performs payroll calculations correctly across the entire employee population, from lower earning staff to senior management.</w:t>
      </w:r>
    </w:p>
    <w:p w14:paraId="24EC5B7F" w14:textId="77777777" w:rsidR="00FD786C" w:rsidRDefault="00FD786C" w:rsidP="00F81027">
      <w:pPr>
        <w:spacing w:before="100" w:beforeAutospacing="1" w:after="100" w:afterAutospacing="1" w:line="240" w:lineRule="auto"/>
        <w:jc w:val="both"/>
        <w:rPr>
          <w:rFonts w:ascii="Times New Roman" w:eastAsia="Times New Roman" w:hAnsi="Times New Roman" w:cs="Times New Roman"/>
          <w:kern w:val="0"/>
          <w14:ligatures w14:val="none"/>
        </w:rPr>
      </w:pPr>
    </w:p>
    <w:p w14:paraId="2539D33F" w14:textId="4E9F2CC2" w:rsidR="00FD786C" w:rsidRPr="00FD786C" w:rsidRDefault="00FD786C" w:rsidP="00FD786C">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FD786C">
        <w:rPr>
          <w:rFonts w:ascii="Times New Roman" w:eastAsia="Times New Roman" w:hAnsi="Times New Roman" w:cs="Times New Roman"/>
          <w:b/>
          <w:bCs/>
          <w:kern w:val="36"/>
          <w:sz w:val="40"/>
          <w:szCs w:val="40"/>
          <w14:ligatures w14:val="none"/>
        </w:rPr>
        <w:t>Audit Objectives and Key Risks</w:t>
      </w:r>
    </w:p>
    <w:p w14:paraId="3669EE81" w14:textId="77777777" w:rsidR="00FD786C" w:rsidRPr="00FD786C" w:rsidRDefault="00FD786C" w:rsidP="00FD7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86C">
        <w:rPr>
          <w:rFonts w:ascii="Times New Roman" w:eastAsia="Times New Roman" w:hAnsi="Times New Roman" w:cs="Times New Roman"/>
          <w:b/>
          <w:bCs/>
          <w:kern w:val="0"/>
          <w:sz w:val="36"/>
          <w:szCs w:val="36"/>
          <w14:ligatures w14:val="none"/>
        </w:rPr>
        <w:t>Objective 1: Payroll Calculation Accuracy</w:t>
      </w:r>
    </w:p>
    <w:p w14:paraId="18EFA3CE" w14:textId="77777777" w:rsidR="00FD786C" w:rsidRPr="00FD786C" w:rsidRDefault="00FD786C" w:rsidP="00D44D7D">
      <w:pPr>
        <w:spacing w:before="100" w:beforeAutospacing="1" w:after="100" w:afterAutospacing="1" w:line="240" w:lineRule="auto"/>
        <w:jc w:val="both"/>
        <w:rPr>
          <w:rFonts w:ascii="Times New Roman" w:eastAsia="Times New Roman" w:hAnsi="Times New Roman" w:cs="Times New Roman"/>
          <w:kern w:val="0"/>
          <w14:ligatures w14:val="none"/>
        </w:rPr>
      </w:pPr>
      <w:r w:rsidRPr="00FD786C">
        <w:rPr>
          <w:rFonts w:ascii="Times New Roman" w:eastAsia="Times New Roman" w:hAnsi="Times New Roman" w:cs="Times New Roman"/>
          <w:kern w:val="0"/>
          <w14:ligatures w14:val="none"/>
        </w:rPr>
        <w:t>Assess whether payroll calculations within Microsoft Dynamics 365 Business Central are configured correctly and consistently compute gross pay, statutory deductions, pension contributions, excess pension adjustments, and net pay across the employee population.</w:t>
      </w:r>
    </w:p>
    <w:p w14:paraId="1194CB84" w14:textId="026792EE" w:rsidR="00FD786C" w:rsidRPr="00FD786C" w:rsidRDefault="00FD786C" w:rsidP="00D44D7D">
      <w:pPr>
        <w:spacing w:before="100" w:beforeAutospacing="1" w:after="100" w:afterAutospacing="1" w:line="240" w:lineRule="auto"/>
        <w:rPr>
          <w:rFonts w:ascii="Times New Roman" w:eastAsia="Times New Roman" w:hAnsi="Times New Roman" w:cs="Times New Roman"/>
          <w:b/>
          <w:bCs/>
          <w:kern w:val="0"/>
          <w14:ligatures w14:val="none"/>
        </w:rPr>
      </w:pPr>
      <w:r w:rsidRPr="00FD786C">
        <w:rPr>
          <w:rFonts w:ascii="Times New Roman" w:eastAsia="Times New Roman" w:hAnsi="Times New Roman" w:cs="Times New Roman"/>
          <w:b/>
          <w:bCs/>
          <w:kern w:val="0"/>
          <w14:ligatures w14:val="none"/>
        </w:rPr>
        <w:t>Key Risk:</w:t>
      </w:r>
      <w:r w:rsidRPr="00FD786C">
        <w:rPr>
          <w:rFonts w:ascii="Times New Roman" w:eastAsia="Times New Roman" w:hAnsi="Times New Roman" w:cs="Times New Roman"/>
          <w:kern w:val="0"/>
          <w14:ligatures w14:val="none"/>
        </w:rPr>
        <w:br/>
        <w:t>Incorrect payroll calculation logic or system configuration may result in inaccurate salaries, deductions, or pension contributions being applied to employees, potentially leading to financial loss, employee grievances, statutory non-compliance, and reputational damage to the organization.</w:t>
      </w:r>
    </w:p>
    <w:p w14:paraId="145050B0" w14:textId="77777777" w:rsidR="00FD786C" w:rsidRPr="00FD786C" w:rsidRDefault="00FD786C" w:rsidP="00FD7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86C">
        <w:rPr>
          <w:rFonts w:ascii="Times New Roman" w:eastAsia="Times New Roman" w:hAnsi="Times New Roman" w:cs="Times New Roman"/>
          <w:b/>
          <w:bCs/>
          <w:kern w:val="0"/>
          <w:sz w:val="36"/>
          <w:szCs w:val="36"/>
          <w14:ligatures w14:val="none"/>
        </w:rPr>
        <w:t>Objective 2: Payroll Configuration and System Parameter Integrity</w:t>
      </w:r>
    </w:p>
    <w:p w14:paraId="68341939" w14:textId="77777777" w:rsidR="00FD786C" w:rsidRPr="00FD786C" w:rsidRDefault="00FD786C" w:rsidP="00D44D7D">
      <w:pPr>
        <w:spacing w:before="100" w:beforeAutospacing="1" w:after="100" w:afterAutospacing="1" w:line="240" w:lineRule="auto"/>
        <w:jc w:val="both"/>
        <w:rPr>
          <w:rFonts w:ascii="Times New Roman" w:eastAsia="Times New Roman" w:hAnsi="Times New Roman" w:cs="Times New Roman"/>
          <w:kern w:val="0"/>
          <w14:ligatures w14:val="none"/>
        </w:rPr>
      </w:pPr>
      <w:r w:rsidRPr="00FD786C">
        <w:rPr>
          <w:rFonts w:ascii="Times New Roman" w:eastAsia="Times New Roman" w:hAnsi="Times New Roman" w:cs="Times New Roman"/>
          <w:kern w:val="0"/>
          <w14:ligatures w14:val="none"/>
        </w:rPr>
        <w:t>Determine whether payroll configuration settings, including pay elements, deduction rules, pension thresholds, tax bands, and system calculation parameters, are correctly defined within the ERP and aligned with organizational payroll policies and statutory requirements.</w:t>
      </w:r>
    </w:p>
    <w:p w14:paraId="0D975BF9" w14:textId="100E274F" w:rsidR="00FD786C" w:rsidRPr="00FD786C" w:rsidRDefault="00FD786C" w:rsidP="00FD786C">
      <w:pPr>
        <w:spacing w:before="100" w:beforeAutospacing="1" w:after="100" w:afterAutospacing="1" w:line="240" w:lineRule="auto"/>
        <w:rPr>
          <w:rFonts w:ascii="Times New Roman" w:eastAsia="Times New Roman" w:hAnsi="Times New Roman" w:cs="Times New Roman"/>
          <w:kern w:val="0"/>
          <w14:ligatures w14:val="none"/>
        </w:rPr>
      </w:pPr>
      <w:r w:rsidRPr="00FD786C">
        <w:rPr>
          <w:rFonts w:ascii="Times New Roman" w:eastAsia="Times New Roman" w:hAnsi="Times New Roman" w:cs="Times New Roman"/>
          <w:b/>
          <w:bCs/>
          <w:kern w:val="0"/>
          <w14:ligatures w14:val="none"/>
        </w:rPr>
        <w:t>Key Risk:</w:t>
      </w:r>
      <w:r w:rsidRPr="00FD786C">
        <w:rPr>
          <w:rFonts w:ascii="Times New Roman" w:eastAsia="Times New Roman" w:hAnsi="Times New Roman" w:cs="Times New Roman"/>
          <w:kern w:val="0"/>
          <w14:ligatures w14:val="none"/>
        </w:rPr>
        <w:br/>
        <w:t>Improperly configured payroll parameters or calculation rules within the ERP system may result in systematic miscalculations affecting multiple employees, particularly in areas such as excess pension contributions, statutory deductions, or benefits calculations.</w:t>
      </w:r>
    </w:p>
    <w:p w14:paraId="4F4365DB" w14:textId="467AC974" w:rsidR="00FD786C" w:rsidRPr="00FD786C" w:rsidRDefault="00FD786C" w:rsidP="00FD78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786C">
        <w:rPr>
          <w:rFonts w:ascii="Times New Roman" w:eastAsia="Times New Roman" w:hAnsi="Times New Roman" w:cs="Times New Roman"/>
          <w:b/>
          <w:bCs/>
          <w:kern w:val="0"/>
          <w:sz w:val="36"/>
          <w:szCs w:val="36"/>
          <w14:ligatures w14:val="none"/>
        </w:rPr>
        <w:t xml:space="preserve">Objective </w:t>
      </w:r>
      <w:r w:rsidR="00F0713D">
        <w:rPr>
          <w:rFonts w:ascii="Times New Roman" w:eastAsia="Times New Roman" w:hAnsi="Times New Roman" w:cs="Times New Roman"/>
          <w:b/>
          <w:bCs/>
          <w:kern w:val="0"/>
          <w:sz w:val="36"/>
          <w:szCs w:val="36"/>
          <w14:ligatures w14:val="none"/>
        </w:rPr>
        <w:t>3</w:t>
      </w:r>
      <w:r w:rsidRPr="00FD786C">
        <w:rPr>
          <w:rFonts w:ascii="Times New Roman" w:eastAsia="Times New Roman" w:hAnsi="Times New Roman" w:cs="Times New Roman"/>
          <w:b/>
          <w:bCs/>
          <w:kern w:val="0"/>
          <w:sz w:val="36"/>
          <w:szCs w:val="36"/>
          <w14:ligatures w14:val="none"/>
        </w:rPr>
        <w:t>: Payroll Processing Controls and Approval Governance</w:t>
      </w:r>
    </w:p>
    <w:p w14:paraId="67A76204" w14:textId="77777777" w:rsidR="00FD786C" w:rsidRPr="00FD786C" w:rsidRDefault="00FD786C" w:rsidP="00D44D7D">
      <w:pPr>
        <w:spacing w:before="100" w:beforeAutospacing="1" w:after="100" w:afterAutospacing="1" w:line="240" w:lineRule="auto"/>
        <w:jc w:val="both"/>
        <w:rPr>
          <w:rFonts w:ascii="Times New Roman" w:eastAsia="Times New Roman" w:hAnsi="Times New Roman" w:cs="Times New Roman"/>
          <w:kern w:val="0"/>
          <w14:ligatures w14:val="none"/>
        </w:rPr>
      </w:pPr>
      <w:r w:rsidRPr="00FD786C">
        <w:rPr>
          <w:rFonts w:ascii="Times New Roman" w:eastAsia="Times New Roman" w:hAnsi="Times New Roman" w:cs="Times New Roman"/>
          <w:kern w:val="0"/>
          <w14:ligatures w14:val="none"/>
        </w:rPr>
        <w:t>Assess whether adequate internal controls exist over payroll preparation, review, approval, and posting within Microsoft Dynamics 365 Business Central to ensure payroll outputs are verified before payments are executed.</w:t>
      </w:r>
    </w:p>
    <w:p w14:paraId="042E6CC3" w14:textId="00B00B8C" w:rsidR="00FD786C" w:rsidRPr="00FD786C" w:rsidRDefault="00FD786C" w:rsidP="00FD786C">
      <w:pPr>
        <w:spacing w:before="100" w:beforeAutospacing="1" w:after="100" w:afterAutospacing="1" w:line="240" w:lineRule="auto"/>
        <w:rPr>
          <w:rFonts w:ascii="Times New Roman" w:eastAsia="Times New Roman" w:hAnsi="Times New Roman" w:cs="Times New Roman"/>
          <w:kern w:val="0"/>
          <w14:ligatures w14:val="none"/>
        </w:rPr>
      </w:pPr>
      <w:r w:rsidRPr="00FD786C">
        <w:rPr>
          <w:rFonts w:ascii="Times New Roman" w:eastAsia="Times New Roman" w:hAnsi="Times New Roman" w:cs="Times New Roman"/>
          <w:b/>
          <w:bCs/>
          <w:kern w:val="0"/>
          <w14:ligatures w14:val="none"/>
        </w:rPr>
        <w:t>Key Risk:</w:t>
      </w:r>
      <w:r w:rsidRPr="00FD786C">
        <w:rPr>
          <w:rFonts w:ascii="Times New Roman" w:eastAsia="Times New Roman" w:hAnsi="Times New Roman" w:cs="Times New Roman"/>
          <w:kern w:val="0"/>
          <w14:ligatures w14:val="none"/>
        </w:rPr>
        <w:br/>
        <w:t>Weak segregation of duties or insufficient payroll review controls may allow erroneous or unauthorized payroll transactions to be processed and paid without timely detection.</w:t>
      </w:r>
    </w:p>
    <w:p w14:paraId="59749083" w14:textId="77777777" w:rsidR="00FD786C" w:rsidRDefault="00FD786C" w:rsidP="00F81027">
      <w:pPr>
        <w:spacing w:before="100" w:beforeAutospacing="1" w:after="100" w:afterAutospacing="1" w:line="240" w:lineRule="auto"/>
        <w:jc w:val="both"/>
        <w:rPr>
          <w:rFonts w:ascii="Times New Roman" w:eastAsia="Times New Roman" w:hAnsi="Times New Roman" w:cs="Times New Roman"/>
          <w:kern w:val="0"/>
          <w14:ligatures w14:val="none"/>
        </w:rPr>
      </w:pPr>
    </w:p>
    <w:p w14:paraId="1120AD51" w14:textId="77777777" w:rsidR="00FD786C" w:rsidRDefault="00FD786C" w:rsidP="00F81027">
      <w:pPr>
        <w:spacing w:before="100" w:beforeAutospacing="1" w:after="100" w:afterAutospacing="1" w:line="240" w:lineRule="auto"/>
        <w:jc w:val="both"/>
        <w:rPr>
          <w:rFonts w:ascii="Times New Roman" w:eastAsia="Times New Roman" w:hAnsi="Times New Roman" w:cs="Times New Roman"/>
          <w:kern w:val="0"/>
          <w14:ligatures w14:val="none"/>
        </w:rPr>
      </w:pPr>
    </w:p>
    <w:p w14:paraId="49FACFD6" w14:textId="77777777" w:rsidR="00FD786C" w:rsidRPr="00F81027" w:rsidRDefault="00FD786C" w:rsidP="00F81027">
      <w:pPr>
        <w:spacing w:before="100" w:beforeAutospacing="1" w:after="100" w:afterAutospacing="1" w:line="240" w:lineRule="auto"/>
        <w:jc w:val="both"/>
        <w:rPr>
          <w:rFonts w:ascii="Times New Roman" w:eastAsia="Times New Roman" w:hAnsi="Times New Roman" w:cs="Times New Roman"/>
          <w:kern w:val="0"/>
          <w14:ligatures w14:val="none"/>
        </w:rPr>
      </w:pPr>
    </w:p>
    <w:p w14:paraId="2435DD39" w14:textId="55F6F41F" w:rsidR="00451EEC" w:rsidRDefault="00451EEC"/>
    <w:p w14:paraId="659BCE83" w14:textId="77777777" w:rsidR="00A603B3" w:rsidRDefault="00A603B3" w:rsidP="00EA7FD7">
      <w:pPr>
        <w:pStyle w:val="NormalWeb"/>
        <w:jc w:val="both"/>
        <w:rPr>
          <w:b/>
          <w:bCs/>
        </w:rPr>
      </w:pPr>
    </w:p>
    <w:p w14:paraId="53E1DCD9" w14:textId="54EB6558" w:rsidR="00EA7FD7" w:rsidRDefault="00EA7FD7" w:rsidP="00EA7FD7">
      <w:pPr>
        <w:pStyle w:val="NormalWeb"/>
        <w:jc w:val="both"/>
      </w:pPr>
      <w:r w:rsidRPr="00A603B3">
        <w:rPr>
          <w:b/>
          <w:bCs/>
        </w:rPr>
        <w:t>Employee pension contribution has been inconsistently configured, resulting in understatement of excess pension and related tax for employees with allowances</w:t>
      </w:r>
      <w:r>
        <w:t>.</w:t>
      </w:r>
    </w:p>
    <w:p w14:paraId="73652103" w14:textId="254E66DC" w:rsidR="00A603B3" w:rsidRPr="00A603B3" w:rsidRDefault="00EA7FD7" w:rsidP="00EA7FD7">
      <w:pPr>
        <w:pStyle w:val="NormalWeb"/>
        <w:jc w:val="both"/>
      </w:pPr>
      <w:r>
        <w:t xml:space="preserve">Based on the </w:t>
      </w:r>
      <w:proofErr w:type="spellStart"/>
      <w:r>
        <w:t>recomputation</w:t>
      </w:r>
      <w:proofErr w:type="spellEnd"/>
      <w:r>
        <w:t xml:space="preserve"> of 15 sampled employees, payroll was correct for employees whose gross pay equaled basic pay, but for 8 employees with material allowances the employee pension contribution was calculated at 5% of basic pay instead of 5% of gross pay used in your </w:t>
      </w:r>
      <w:proofErr w:type="spellStart"/>
      <w:r>
        <w:t>recomputation</w:t>
      </w:r>
      <w:proofErr w:type="spellEnd"/>
      <w:r>
        <w:t xml:space="preserve"> basis. </w:t>
      </w:r>
      <w:r w:rsidR="00A603B3">
        <w:fldChar w:fldCharType="begin"/>
      </w:r>
      <w:r w:rsidR="00A603B3">
        <w:instrText xml:space="preserve"> LINK Excel.Sheet.12 "C:\\Users\\ouma.fred\\Desktop\\Internal Audit\\2026 Audits\\The Audit Work\\Payroll 2026\\Payroll Recomputation-Feb 2026.xlsx" "Sheet3!R1C1:R11C4" \a \f 5 \h  \* MERGEFORMAT </w:instrText>
      </w:r>
      <w:r w:rsidR="00A603B3">
        <w:fldChar w:fldCharType="separate"/>
      </w:r>
    </w:p>
    <w:tbl>
      <w:tblPr>
        <w:tblStyle w:val="TableGrid"/>
        <w:tblW w:w="9355" w:type="dxa"/>
        <w:tblLook w:val="04A0" w:firstRow="1" w:lastRow="0" w:firstColumn="1" w:lastColumn="0" w:noHBand="0" w:noVBand="1"/>
      </w:tblPr>
      <w:tblGrid>
        <w:gridCol w:w="660"/>
        <w:gridCol w:w="2035"/>
        <w:gridCol w:w="3600"/>
        <w:gridCol w:w="3060"/>
      </w:tblGrid>
      <w:tr w:rsidR="00A603B3" w:rsidRPr="00A603B3" w14:paraId="726CB1C0" w14:textId="77777777" w:rsidTr="00A603B3">
        <w:trPr>
          <w:trHeight w:val="440"/>
        </w:trPr>
        <w:tc>
          <w:tcPr>
            <w:tcW w:w="660" w:type="dxa"/>
            <w:noWrap/>
            <w:hideMark/>
          </w:tcPr>
          <w:p w14:paraId="3EA1C0D9" w14:textId="4B5E1554" w:rsidR="00A603B3" w:rsidRPr="00A603B3" w:rsidRDefault="00A603B3" w:rsidP="00A603B3">
            <w:pPr>
              <w:pStyle w:val="NormalWeb"/>
              <w:jc w:val="both"/>
              <w:rPr>
                <w:b/>
                <w:bCs/>
              </w:rPr>
            </w:pPr>
            <w:r w:rsidRPr="00A603B3">
              <w:rPr>
                <w:b/>
                <w:bCs/>
              </w:rPr>
              <w:t>No.</w:t>
            </w:r>
          </w:p>
        </w:tc>
        <w:tc>
          <w:tcPr>
            <w:tcW w:w="2035" w:type="dxa"/>
            <w:noWrap/>
            <w:hideMark/>
          </w:tcPr>
          <w:p w14:paraId="5E70294F" w14:textId="77777777" w:rsidR="00A603B3" w:rsidRPr="00A603B3" w:rsidRDefault="00A603B3" w:rsidP="00A603B3">
            <w:pPr>
              <w:pStyle w:val="NormalWeb"/>
              <w:jc w:val="both"/>
              <w:rPr>
                <w:b/>
                <w:bCs/>
              </w:rPr>
            </w:pPr>
            <w:r w:rsidRPr="00A603B3">
              <w:rPr>
                <w:b/>
                <w:bCs/>
              </w:rPr>
              <w:t>Employee No.</w:t>
            </w:r>
          </w:p>
        </w:tc>
        <w:tc>
          <w:tcPr>
            <w:tcW w:w="3600" w:type="dxa"/>
            <w:hideMark/>
          </w:tcPr>
          <w:p w14:paraId="0FEDABCC" w14:textId="77777777" w:rsidR="00A603B3" w:rsidRPr="00A603B3" w:rsidRDefault="00A603B3" w:rsidP="00A603B3">
            <w:pPr>
              <w:pStyle w:val="NormalWeb"/>
              <w:jc w:val="both"/>
              <w:rPr>
                <w:b/>
                <w:bCs/>
              </w:rPr>
            </w:pPr>
            <w:r w:rsidRPr="00A603B3">
              <w:rPr>
                <w:b/>
                <w:bCs/>
              </w:rPr>
              <w:t>Variance in Employee Pension / Excess Pension (KES)</w:t>
            </w:r>
          </w:p>
        </w:tc>
        <w:tc>
          <w:tcPr>
            <w:tcW w:w="3060" w:type="dxa"/>
            <w:noWrap/>
            <w:hideMark/>
          </w:tcPr>
          <w:p w14:paraId="2BE45A65" w14:textId="77777777" w:rsidR="00A603B3" w:rsidRPr="00A603B3" w:rsidRDefault="00A603B3" w:rsidP="00A603B3">
            <w:pPr>
              <w:pStyle w:val="NormalWeb"/>
              <w:jc w:val="both"/>
              <w:rPr>
                <w:b/>
                <w:bCs/>
              </w:rPr>
            </w:pPr>
            <w:r w:rsidRPr="00A603B3">
              <w:rPr>
                <w:b/>
                <w:bCs/>
              </w:rPr>
              <w:t>Basis of variance</w:t>
            </w:r>
          </w:p>
        </w:tc>
      </w:tr>
      <w:tr w:rsidR="00A603B3" w:rsidRPr="00A603B3" w14:paraId="710EF617" w14:textId="77777777" w:rsidTr="00A603B3">
        <w:trPr>
          <w:trHeight w:val="580"/>
        </w:trPr>
        <w:tc>
          <w:tcPr>
            <w:tcW w:w="660" w:type="dxa"/>
            <w:noWrap/>
            <w:hideMark/>
          </w:tcPr>
          <w:p w14:paraId="4EEC0384" w14:textId="77777777" w:rsidR="00A603B3" w:rsidRPr="00A603B3" w:rsidRDefault="00A603B3" w:rsidP="00A603B3">
            <w:pPr>
              <w:pStyle w:val="NormalWeb"/>
              <w:jc w:val="both"/>
            </w:pPr>
            <w:r w:rsidRPr="00A603B3">
              <w:t>1</w:t>
            </w:r>
          </w:p>
        </w:tc>
        <w:tc>
          <w:tcPr>
            <w:tcW w:w="2035" w:type="dxa"/>
            <w:noWrap/>
            <w:hideMark/>
          </w:tcPr>
          <w:p w14:paraId="4F4FC707" w14:textId="77777777" w:rsidR="00A603B3" w:rsidRPr="00A603B3" w:rsidRDefault="00A603B3" w:rsidP="00A603B3">
            <w:pPr>
              <w:pStyle w:val="NormalWeb"/>
              <w:jc w:val="both"/>
            </w:pPr>
            <w:r w:rsidRPr="00A603B3">
              <w:t>EMP0158</w:t>
            </w:r>
          </w:p>
        </w:tc>
        <w:tc>
          <w:tcPr>
            <w:tcW w:w="3600" w:type="dxa"/>
            <w:noWrap/>
            <w:hideMark/>
          </w:tcPr>
          <w:p w14:paraId="42933CD9" w14:textId="77777777" w:rsidR="00A603B3" w:rsidRPr="00A603B3" w:rsidRDefault="00A603B3" w:rsidP="00A603B3">
            <w:pPr>
              <w:pStyle w:val="NormalWeb"/>
              <w:jc w:val="both"/>
            </w:pPr>
            <w:r w:rsidRPr="00A603B3">
              <w:t>2,416.20</w:t>
            </w:r>
          </w:p>
        </w:tc>
        <w:tc>
          <w:tcPr>
            <w:tcW w:w="3060" w:type="dxa"/>
            <w:hideMark/>
          </w:tcPr>
          <w:p w14:paraId="25921A7D" w14:textId="77777777" w:rsidR="00A603B3" w:rsidRPr="00A603B3" w:rsidRDefault="00A603B3" w:rsidP="00A603B3">
            <w:pPr>
              <w:pStyle w:val="NormalWeb"/>
              <w:jc w:val="both"/>
            </w:pPr>
            <w:r w:rsidRPr="00A603B3">
              <w:t>5% applied to basic instead of gross</w:t>
            </w:r>
          </w:p>
        </w:tc>
      </w:tr>
      <w:tr w:rsidR="00A603B3" w:rsidRPr="00A603B3" w14:paraId="7EEB21E1" w14:textId="77777777" w:rsidTr="00A603B3">
        <w:trPr>
          <w:trHeight w:val="580"/>
        </w:trPr>
        <w:tc>
          <w:tcPr>
            <w:tcW w:w="660" w:type="dxa"/>
            <w:noWrap/>
            <w:hideMark/>
          </w:tcPr>
          <w:p w14:paraId="6603B189" w14:textId="77777777" w:rsidR="00A603B3" w:rsidRPr="00A603B3" w:rsidRDefault="00A603B3" w:rsidP="00A603B3">
            <w:pPr>
              <w:pStyle w:val="NormalWeb"/>
              <w:jc w:val="both"/>
            </w:pPr>
            <w:r w:rsidRPr="00A603B3">
              <w:t>2</w:t>
            </w:r>
          </w:p>
        </w:tc>
        <w:tc>
          <w:tcPr>
            <w:tcW w:w="2035" w:type="dxa"/>
            <w:noWrap/>
            <w:hideMark/>
          </w:tcPr>
          <w:p w14:paraId="36BEC53D" w14:textId="77777777" w:rsidR="00A603B3" w:rsidRPr="00A603B3" w:rsidRDefault="00A603B3" w:rsidP="00A603B3">
            <w:pPr>
              <w:pStyle w:val="NormalWeb"/>
              <w:jc w:val="both"/>
            </w:pPr>
            <w:r w:rsidRPr="00A603B3">
              <w:t>EMP0303</w:t>
            </w:r>
          </w:p>
        </w:tc>
        <w:tc>
          <w:tcPr>
            <w:tcW w:w="3600" w:type="dxa"/>
            <w:noWrap/>
            <w:hideMark/>
          </w:tcPr>
          <w:p w14:paraId="4FA18149" w14:textId="77777777" w:rsidR="00A603B3" w:rsidRPr="00A603B3" w:rsidRDefault="00A603B3" w:rsidP="00A603B3">
            <w:pPr>
              <w:pStyle w:val="NormalWeb"/>
              <w:jc w:val="both"/>
            </w:pPr>
            <w:r w:rsidRPr="00A603B3">
              <w:t>12,839.75</w:t>
            </w:r>
          </w:p>
        </w:tc>
        <w:tc>
          <w:tcPr>
            <w:tcW w:w="3060" w:type="dxa"/>
            <w:hideMark/>
          </w:tcPr>
          <w:p w14:paraId="01E9BC58" w14:textId="77777777" w:rsidR="00A603B3" w:rsidRPr="00A603B3" w:rsidRDefault="00A603B3" w:rsidP="00A603B3">
            <w:pPr>
              <w:pStyle w:val="NormalWeb"/>
              <w:jc w:val="both"/>
            </w:pPr>
            <w:r w:rsidRPr="00A603B3">
              <w:t>5% applied to basic instead of gross</w:t>
            </w:r>
          </w:p>
        </w:tc>
      </w:tr>
      <w:tr w:rsidR="00A603B3" w:rsidRPr="00A603B3" w14:paraId="09A179BB" w14:textId="77777777" w:rsidTr="00A603B3">
        <w:trPr>
          <w:trHeight w:val="580"/>
        </w:trPr>
        <w:tc>
          <w:tcPr>
            <w:tcW w:w="660" w:type="dxa"/>
            <w:noWrap/>
            <w:hideMark/>
          </w:tcPr>
          <w:p w14:paraId="1D7FB180" w14:textId="77777777" w:rsidR="00A603B3" w:rsidRPr="00A603B3" w:rsidRDefault="00A603B3" w:rsidP="00A603B3">
            <w:pPr>
              <w:pStyle w:val="NormalWeb"/>
              <w:jc w:val="both"/>
            </w:pPr>
            <w:r w:rsidRPr="00A603B3">
              <w:t>3</w:t>
            </w:r>
          </w:p>
        </w:tc>
        <w:tc>
          <w:tcPr>
            <w:tcW w:w="2035" w:type="dxa"/>
            <w:noWrap/>
            <w:hideMark/>
          </w:tcPr>
          <w:p w14:paraId="46C9302D" w14:textId="77777777" w:rsidR="00A603B3" w:rsidRPr="00A603B3" w:rsidRDefault="00A603B3" w:rsidP="00A603B3">
            <w:pPr>
              <w:pStyle w:val="NormalWeb"/>
              <w:jc w:val="both"/>
            </w:pPr>
            <w:r w:rsidRPr="00A603B3">
              <w:t>EMP0495</w:t>
            </w:r>
          </w:p>
        </w:tc>
        <w:tc>
          <w:tcPr>
            <w:tcW w:w="3600" w:type="dxa"/>
            <w:noWrap/>
            <w:hideMark/>
          </w:tcPr>
          <w:p w14:paraId="2F49FC6D" w14:textId="77777777" w:rsidR="00A603B3" w:rsidRPr="00A603B3" w:rsidRDefault="00A603B3" w:rsidP="00A603B3">
            <w:pPr>
              <w:pStyle w:val="NormalWeb"/>
              <w:jc w:val="both"/>
            </w:pPr>
            <w:r w:rsidRPr="00A603B3">
              <w:t>3,900.00</w:t>
            </w:r>
          </w:p>
        </w:tc>
        <w:tc>
          <w:tcPr>
            <w:tcW w:w="3060" w:type="dxa"/>
            <w:hideMark/>
          </w:tcPr>
          <w:p w14:paraId="44659F6A" w14:textId="77777777" w:rsidR="00A603B3" w:rsidRPr="00A603B3" w:rsidRDefault="00A603B3" w:rsidP="00A603B3">
            <w:pPr>
              <w:pStyle w:val="NormalWeb"/>
              <w:jc w:val="both"/>
            </w:pPr>
            <w:r w:rsidRPr="00A603B3">
              <w:t>5% applied to basic instead of gross</w:t>
            </w:r>
          </w:p>
        </w:tc>
      </w:tr>
      <w:tr w:rsidR="00A603B3" w:rsidRPr="00A603B3" w14:paraId="52EC9C6A" w14:textId="77777777" w:rsidTr="00A603B3">
        <w:trPr>
          <w:trHeight w:val="580"/>
        </w:trPr>
        <w:tc>
          <w:tcPr>
            <w:tcW w:w="660" w:type="dxa"/>
            <w:noWrap/>
            <w:hideMark/>
          </w:tcPr>
          <w:p w14:paraId="12C7B4B5" w14:textId="77777777" w:rsidR="00A603B3" w:rsidRPr="00A603B3" w:rsidRDefault="00A603B3" w:rsidP="00A603B3">
            <w:pPr>
              <w:pStyle w:val="NormalWeb"/>
              <w:jc w:val="both"/>
            </w:pPr>
            <w:r w:rsidRPr="00A603B3">
              <w:t>4</w:t>
            </w:r>
          </w:p>
        </w:tc>
        <w:tc>
          <w:tcPr>
            <w:tcW w:w="2035" w:type="dxa"/>
            <w:noWrap/>
            <w:hideMark/>
          </w:tcPr>
          <w:p w14:paraId="126C38F5" w14:textId="77777777" w:rsidR="00A603B3" w:rsidRPr="00A603B3" w:rsidRDefault="00A603B3" w:rsidP="00A603B3">
            <w:pPr>
              <w:pStyle w:val="NormalWeb"/>
              <w:jc w:val="both"/>
            </w:pPr>
            <w:r w:rsidRPr="00A603B3">
              <w:t>EMP0500</w:t>
            </w:r>
          </w:p>
        </w:tc>
        <w:tc>
          <w:tcPr>
            <w:tcW w:w="3600" w:type="dxa"/>
            <w:noWrap/>
            <w:hideMark/>
          </w:tcPr>
          <w:p w14:paraId="5CD1C121" w14:textId="77777777" w:rsidR="00A603B3" w:rsidRPr="00A603B3" w:rsidRDefault="00A603B3" w:rsidP="00A603B3">
            <w:pPr>
              <w:pStyle w:val="NormalWeb"/>
              <w:jc w:val="both"/>
            </w:pPr>
            <w:r w:rsidRPr="00A603B3">
              <w:t>2,028.75</w:t>
            </w:r>
          </w:p>
        </w:tc>
        <w:tc>
          <w:tcPr>
            <w:tcW w:w="3060" w:type="dxa"/>
            <w:hideMark/>
          </w:tcPr>
          <w:p w14:paraId="75EAFCAE" w14:textId="77777777" w:rsidR="00A603B3" w:rsidRPr="00A603B3" w:rsidRDefault="00A603B3" w:rsidP="00A603B3">
            <w:pPr>
              <w:pStyle w:val="NormalWeb"/>
              <w:jc w:val="both"/>
            </w:pPr>
            <w:r w:rsidRPr="00A603B3">
              <w:t>5% applied to basic instead of gross</w:t>
            </w:r>
          </w:p>
        </w:tc>
      </w:tr>
      <w:tr w:rsidR="00A603B3" w:rsidRPr="00A603B3" w14:paraId="622FC53F" w14:textId="77777777" w:rsidTr="00A603B3">
        <w:trPr>
          <w:trHeight w:val="580"/>
        </w:trPr>
        <w:tc>
          <w:tcPr>
            <w:tcW w:w="660" w:type="dxa"/>
            <w:noWrap/>
            <w:hideMark/>
          </w:tcPr>
          <w:p w14:paraId="5A397C6D" w14:textId="77777777" w:rsidR="00A603B3" w:rsidRPr="00A603B3" w:rsidRDefault="00A603B3" w:rsidP="00A603B3">
            <w:pPr>
              <w:pStyle w:val="NormalWeb"/>
              <w:jc w:val="both"/>
            </w:pPr>
            <w:r w:rsidRPr="00A603B3">
              <w:t>5</w:t>
            </w:r>
          </w:p>
        </w:tc>
        <w:tc>
          <w:tcPr>
            <w:tcW w:w="2035" w:type="dxa"/>
            <w:noWrap/>
            <w:hideMark/>
          </w:tcPr>
          <w:p w14:paraId="6A674D58" w14:textId="77777777" w:rsidR="00A603B3" w:rsidRPr="00A603B3" w:rsidRDefault="00A603B3" w:rsidP="00A603B3">
            <w:pPr>
              <w:pStyle w:val="NormalWeb"/>
              <w:jc w:val="both"/>
            </w:pPr>
            <w:r w:rsidRPr="00A603B3">
              <w:t>EMP0525</w:t>
            </w:r>
          </w:p>
        </w:tc>
        <w:tc>
          <w:tcPr>
            <w:tcW w:w="3600" w:type="dxa"/>
            <w:hideMark/>
          </w:tcPr>
          <w:p w14:paraId="180F0A74" w14:textId="77777777" w:rsidR="00A603B3" w:rsidRPr="00A603B3" w:rsidRDefault="00A603B3" w:rsidP="00A603B3">
            <w:pPr>
              <w:pStyle w:val="NormalWeb"/>
              <w:jc w:val="both"/>
            </w:pPr>
            <w:r w:rsidRPr="00A603B3">
              <w:t>3,131.25</w:t>
            </w:r>
          </w:p>
        </w:tc>
        <w:tc>
          <w:tcPr>
            <w:tcW w:w="3060" w:type="dxa"/>
            <w:hideMark/>
          </w:tcPr>
          <w:p w14:paraId="1410C3AF" w14:textId="77777777" w:rsidR="00A603B3" w:rsidRPr="00A603B3" w:rsidRDefault="00A603B3" w:rsidP="00A603B3">
            <w:pPr>
              <w:pStyle w:val="NormalWeb"/>
              <w:jc w:val="both"/>
            </w:pPr>
            <w:r w:rsidRPr="00A603B3">
              <w:t>5% applied to basic instead of gross</w:t>
            </w:r>
          </w:p>
        </w:tc>
      </w:tr>
      <w:tr w:rsidR="00A603B3" w:rsidRPr="00A603B3" w14:paraId="6BC82F9E" w14:textId="77777777" w:rsidTr="00A603B3">
        <w:trPr>
          <w:trHeight w:val="580"/>
        </w:trPr>
        <w:tc>
          <w:tcPr>
            <w:tcW w:w="660" w:type="dxa"/>
            <w:noWrap/>
            <w:hideMark/>
          </w:tcPr>
          <w:p w14:paraId="5DAEF653" w14:textId="77777777" w:rsidR="00A603B3" w:rsidRPr="00A603B3" w:rsidRDefault="00A603B3" w:rsidP="00A603B3">
            <w:pPr>
              <w:pStyle w:val="NormalWeb"/>
              <w:jc w:val="both"/>
            </w:pPr>
            <w:r w:rsidRPr="00A603B3">
              <w:t>6</w:t>
            </w:r>
          </w:p>
        </w:tc>
        <w:tc>
          <w:tcPr>
            <w:tcW w:w="2035" w:type="dxa"/>
            <w:noWrap/>
            <w:hideMark/>
          </w:tcPr>
          <w:p w14:paraId="1C2CB255" w14:textId="77777777" w:rsidR="00A603B3" w:rsidRPr="00A603B3" w:rsidRDefault="00A603B3" w:rsidP="00A603B3">
            <w:pPr>
              <w:pStyle w:val="NormalWeb"/>
              <w:jc w:val="both"/>
            </w:pPr>
            <w:r w:rsidRPr="00A603B3">
              <w:t>EMP0547</w:t>
            </w:r>
          </w:p>
        </w:tc>
        <w:tc>
          <w:tcPr>
            <w:tcW w:w="3600" w:type="dxa"/>
            <w:noWrap/>
            <w:hideMark/>
          </w:tcPr>
          <w:p w14:paraId="79C23B18" w14:textId="77777777" w:rsidR="00A603B3" w:rsidRPr="00A603B3" w:rsidRDefault="00A603B3" w:rsidP="00A603B3">
            <w:pPr>
              <w:pStyle w:val="NormalWeb"/>
              <w:jc w:val="both"/>
            </w:pPr>
            <w:r w:rsidRPr="00A603B3">
              <w:t>2,500.00</w:t>
            </w:r>
          </w:p>
        </w:tc>
        <w:tc>
          <w:tcPr>
            <w:tcW w:w="3060" w:type="dxa"/>
            <w:hideMark/>
          </w:tcPr>
          <w:p w14:paraId="2B620E37" w14:textId="77777777" w:rsidR="00A603B3" w:rsidRPr="00A603B3" w:rsidRDefault="00A603B3" w:rsidP="00A603B3">
            <w:pPr>
              <w:pStyle w:val="NormalWeb"/>
              <w:jc w:val="both"/>
            </w:pPr>
            <w:r w:rsidRPr="00A603B3">
              <w:t>5% applied to basic instead of gross</w:t>
            </w:r>
          </w:p>
        </w:tc>
      </w:tr>
      <w:tr w:rsidR="00A603B3" w:rsidRPr="00A603B3" w14:paraId="5C85E878" w14:textId="77777777" w:rsidTr="00A603B3">
        <w:trPr>
          <w:trHeight w:val="580"/>
        </w:trPr>
        <w:tc>
          <w:tcPr>
            <w:tcW w:w="660" w:type="dxa"/>
            <w:noWrap/>
            <w:hideMark/>
          </w:tcPr>
          <w:p w14:paraId="79D79FDB" w14:textId="77777777" w:rsidR="00A603B3" w:rsidRPr="00A603B3" w:rsidRDefault="00A603B3" w:rsidP="00A603B3">
            <w:pPr>
              <w:pStyle w:val="NormalWeb"/>
              <w:jc w:val="both"/>
            </w:pPr>
            <w:r w:rsidRPr="00A603B3">
              <w:t>7</w:t>
            </w:r>
          </w:p>
        </w:tc>
        <w:tc>
          <w:tcPr>
            <w:tcW w:w="2035" w:type="dxa"/>
            <w:noWrap/>
            <w:hideMark/>
          </w:tcPr>
          <w:p w14:paraId="601C7E48" w14:textId="77777777" w:rsidR="00A603B3" w:rsidRPr="00A603B3" w:rsidRDefault="00A603B3" w:rsidP="00A603B3">
            <w:pPr>
              <w:pStyle w:val="NormalWeb"/>
              <w:jc w:val="both"/>
            </w:pPr>
            <w:r w:rsidRPr="00A603B3">
              <w:t>EMP1829</w:t>
            </w:r>
          </w:p>
        </w:tc>
        <w:tc>
          <w:tcPr>
            <w:tcW w:w="3600" w:type="dxa"/>
            <w:noWrap/>
            <w:hideMark/>
          </w:tcPr>
          <w:p w14:paraId="40257562" w14:textId="77777777" w:rsidR="00A603B3" w:rsidRPr="00A603B3" w:rsidRDefault="00A603B3" w:rsidP="00A603B3">
            <w:pPr>
              <w:pStyle w:val="NormalWeb"/>
              <w:jc w:val="both"/>
            </w:pPr>
            <w:r w:rsidRPr="00A603B3">
              <w:t>8,643.20</w:t>
            </w:r>
          </w:p>
        </w:tc>
        <w:tc>
          <w:tcPr>
            <w:tcW w:w="3060" w:type="dxa"/>
            <w:hideMark/>
          </w:tcPr>
          <w:p w14:paraId="781519A6" w14:textId="77777777" w:rsidR="00A603B3" w:rsidRPr="00A603B3" w:rsidRDefault="00A603B3" w:rsidP="00A603B3">
            <w:pPr>
              <w:pStyle w:val="NormalWeb"/>
              <w:jc w:val="both"/>
            </w:pPr>
            <w:r w:rsidRPr="00A603B3">
              <w:t>5% applied to basic instead of gross</w:t>
            </w:r>
          </w:p>
        </w:tc>
      </w:tr>
      <w:tr w:rsidR="00A603B3" w:rsidRPr="00A603B3" w14:paraId="17271428" w14:textId="77777777" w:rsidTr="00A603B3">
        <w:trPr>
          <w:trHeight w:val="580"/>
        </w:trPr>
        <w:tc>
          <w:tcPr>
            <w:tcW w:w="660" w:type="dxa"/>
            <w:noWrap/>
            <w:hideMark/>
          </w:tcPr>
          <w:p w14:paraId="1834247B" w14:textId="77777777" w:rsidR="00A603B3" w:rsidRPr="00A603B3" w:rsidRDefault="00A603B3" w:rsidP="00A603B3">
            <w:pPr>
              <w:pStyle w:val="NormalWeb"/>
              <w:jc w:val="both"/>
            </w:pPr>
            <w:r w:rsidRPr="00A603B3">
              <w:t>8</w:t>
            </w:r>
          </w:p>
        </w:tc>
        <w:tc>
          <w:tcPr>
            <w:tcW w:w="2035" w:type="dxa"/>
            <w:noWrap/>
            <w:hideMark/>
          </w:tcPr>
          <w:p w14:paraId="236830D7" w14:textId="77777777" w:rsidR="00A603B3" w:rsidRPr="00A603B3" w:rsidRDefault="00A603B3" w:rsidP="00A603B3">
            <w:pPr>
              <w:pStyle w:val="NormalWeb"/>
              <w:jc w:val="both"/>
            </w:pPr>
            <w:r w:rsidRPr="00A603B3">
              <w:t>EMP1836</w:t>
            </w:r>
          </w:p>
        </w:tc>
        <w:tc>
          <w:tcPr>
            <w:tcW w:w="3600" w:type="dxa"/>
            <w:noWrap/>
            <w:hideMark/>
          </w:tcPr>
          <w:p w14:paraId="6F267DBF" w14:textId="77777777" w:rsidR="00A603B3" w:rsidRPr="00A603B3" w:rsidRDefault="00A603B3" w:rsidP="00A603B3">
            <w:pPr>
              <w:pStyle w:val="NormalWeb"/>
              <w:jc w:val="both"/>
            </w:pPr>
            <w:r w:rsidRPr="00A603B3">
              <w:t>6,138.75</w:t>
            </w:r>
          </w:p>
        </w:tc>
        <w:tc>
          <w:tcPr>
            <w:tcW w:w="3060" w:type="dxa"/>
            <w:hideMark/>
          </w:tcPr>
          <w:p w14:paraId="32B2F9D4" w14:textId="77777777" w:rsidR="00A603B3" w:rsidRPr="00A603B3" w:rsidRDefault="00A603B3" w:rsidP="00A603B3">
            <w:pPr>
              <w:pStyle w:val="NormalWeb"/>
              <w:jc w:val="both"/>
            </w:pPr>
            <w:r w:rsidRPr="00A603B3">
              <w:t>5% applied to basic instead of gross</w:t>
            </w:r>
          </w:p>
        </w:tc>
      </w:tr>
      <w:tr w:rsidR="00A603B3" w:rsidRPr="00A603B3" w14:paraId="3A913661" w14:textId="77777777" w:rsidTr="00A603B3">
        <w:trPr>
          <w:trHeight w:val="580"/>
        </w:trPr>
        <w:tc>
          <w:tcPr>
            <w:tcW w:w="660" w:type="dxa"/>
            <w:noWrap/>
            <w:hideMark/>
          </w:tcPr>
          <w:p w14:paraId="513D09B6" w14:textId="77777777" w:rsidR="00A603B3" w:rsidRPr="00A603B3" w:rsidRDefault="00A603B3" w:rsidP="00A603B3">
            <w:pPr>
              <w:pStyle w:val="NormalWeb"/>
              <w:jc w:val="both"/>
            </w:pPr>
            <w:r w:rsidRPr="00A603B3">
              <w:t>9</w:t>
            </w:r>
          </w:p>
        </w:tc>
        <w:tc>
          <w:tcPr>
            <w:tcW w:w="2035" w:type="dxa"/>
            <w:noWrap/>
            <w:hideMark/>
          </w:tcPr>
          <w:p w14:paraId="2DAA7A63" w14:textId="77777777" w:rsidR="00A603B3" w:rsidRPr="00A603B3" w:rsidRDefault="00A603B3" w:rsidP="00A603B3">
            <w:pPr>
              <w:pStyle w:val="NormalWeb"/>
              <w:jc w:val="both"/>
            </w:pPr>
            <w:r w:rsidRPr="00A603B3">
              <w:t>EMP0673</w:t>
            </w:r>
          </w:p>
        </w:tc>
        <w:tc>
          <w:tcPr>
            <w:tcW w:w="3600" w:type="dxa"/>
            <w:noWrap/>
            <w:hideMark/>
          </w:tcPr>
          <w:p w14:paraId="0025F7B1" w14:textId="77777777" w:rsidR="00A603B3" w:rsidRPr="00A603B3" w:rsidRDefault="00A603B3" w:rsidP="00A603B3">
            <w:pPr>
              <w:pStyle w:val="NormalWeb"/>
              <w:jc w:val="both"/>
            </w:pPr>
            <w:r w:rsidRPr="00A603B3">
              <w:t>4,467.80</w:t>
            </w:r>
          </w:p>
        </w:tc>
        <w:tc>
          <w:tcPr>
            <w:tcW w:w="3060" w:type="dxa"/>
            <w:hideMark/>
          </w:tcPr>
          <w:p w14:paraId="4B9BFEF7" w14:textId="77777777" w:rsidR="00A603B3" w:rsidRPr="00A603B3" w:rsidRDefault="00A603B3" w:rsidP="00A603B3">
            <w:pPr>
              <w:pStyle w:val="NormalWeb"/>
              <w:jc w:val="both"/>
            </w:pPr>
            <w:r w:rsidRPr="00A603B3">
              <w:t>5% applied to basic instead of gross</w:t>
            </w:r>
          </w:p>
        </w:tc>
      </w:tr>
      <w:tr w:rsidR="00A603B3" w:rsidRPr="00A603B3" w14:paraId="5FFD1B7A" w14:textId="77777777" w:rsidTr="00A603B3">
        <w:trPr>
          <w:trHeight w:val="290"/>
        </w:trPr>
        <w:tc>
          <w:tcPr>
            <w:tcW w:w="660" w:type="dxa"/>
            <w:noWrap/>
            <w:hideMark/>
          </w:tcPr>
          <w:p w14:paraId="6FDFF7A2" w14:textId="77777777" w:rsidR="00A603B3" w:rsidRPr="00A603B3" w:rsidRDefault="00A603B3" w:rsidP="00A603B3">
            <w:pPr>
              <w:pStyle w:val="NormalWeb"/>
              <w:jc w:val="both"/>
            </w:pPr>
          </w:p>
        </w:tc>
        <w:tc>
          <w:tcPr>
            <w:tcW w:w="2035" w:type="dxa"/>
            <w:noWrap/>
            <w:hideMark/>
          </w:tcPr>
          <w:p w14:paraId="7E2BFE3B" w14:textId="77777777" w:rsidR="00A603B3" w:rsidRPr="00A603B3" w:rsidRDefault="00A603B3" w:rsidP="00A603B3">
            <w:pPr>
              <w:pStyle w:val="NormalWeb"/>
              <w:jc w:val="both"/>
            </w:pPr>
            <w:r w:rsidRPr="00A603B3">
              <w:t>Total</w:t>
            </w:r>
          </w:p>
        </w:tc>
        <w:tc>
          <w:tcPr>
            <w:tcW w:w="3600" w:type="dxa"/>
            <w:noWrap/>
            <w:hideMark/>
          </w:tcPr>
          <w:p w14:paraId="78C50B5A" w14:textId="77777777" w:rsidR="00A603B3" w:rsidRPr="00A603B3" w:rsidRDefault="00A603B3" w:rsidP="00A603B3">
            <w:pPr>
              <w:pStyle w:val="NormalWeb"/>
              <w:jc w:val="both"/>
            </w:pPr>
            <w:r w:rsidRPr="00A603B3">
              <w:t>46,065.70</w:t>
            </w:r>
          </w:p>
        </w:tc>
        <w:tc>
          <w:tcPr>
            <w:tcW w:w="3060" w:type="dxa"/>
            <w:noWrap/>
            <w:hideMark/>
          </w:tcPr>
          <w:p w14:paraId="3A516785" w14:textId="77777777" w:rsidR="00A603B3" w:rsidRPr="00A603B3" w:rsidRDefault="00A603B3" w:rsidP="00A603B3">
            <w:pPr>
              <w:pStyle w:val="NormalWeb"/>
              <w:jc w:val="both"/>
            </w:pPr>
          </w:p>
        </w:tc>
      </w:tr>
    </w:tbl>
    <w:p w14:paraId="3CBAA89D" w14:textId="1BC4D608" w:rsidR="00EA7FD7" w:rsidRDefault="00A603B3" w:rsidP="00EA7FD7">
      <w:pPr>
        <w:pStyle w:val="NormalWeb"/>
        <w:jc w:val="both"/>
      </w:pPr>
      <w:r>
        <w:fldChar w:fldCharType="end"/>
      </w:r>
      <w:r w:rsidR="00EA7FD7">
        <w:t>The error understates employee pension, excess pension and tax on excess pension for affected staff, leading to inaccurate taxable pay outcomes, inaccurate net pay, payroll inequity between employees on different pay structures, and a risk of recurring payroll misstatements across the payroll population.</w:t>
      </w:r>
    </w:p>
    <w:p w14:paraId="5FE35983" w14:textId="4C022C3D" w:rsidR="00EA7FD7" w:rsidRDefault="00EA7FD7" w:rsidP="00EA7FD7">
      <w:pPr>
        <w:pStyle w:val="NormalWeb"/>
        <w:jc w:val="both"/>
      </w:pPr>
      <w:r>
        <w:t xml:space="preserve">Management should immediately review and correct the pension calculation formula in Business Central so that the employee contribution base aligns with the approved payroll rule for all relevant earning components. </w:t>
      </w:r>
    </w:p>
    <w:p w14:paraId="2FEDE58F" w14:textId="148AFDF4" w:rsidR="00EA7FD7" w:rsidRPr="00A603B3" w:rsidRDefault="00EA7FD7" w:rsidP="00EA7FD7">
      <w:pPr>
        <w:pStyle w:val="NormalWeb"/>
        <w:jc w:val="both"/>
        <w:rPr>
          <w:b/>
          <w:bCs/>
        </w:rPr>
      </w:pPr>
      <w:r w:rsidRPr="00A603B3">
        <w:rPr>
          <w:b/>
          <w:bCs/>
        </w:rPr>
        <w:t>SHIF has not been applied consistently to the full gross pay base for some employees, indicating incomplete inclusion of applicable earnings in the SHIF calculation logic.</w:t>
      </w:r>
    </w:p>
    <w:p w14:paraId="256296EE" w14:textId="43DB2EF8" w:rsidR="00EA7FD7" w:rsidRDefault="00A603B3" w:rsidP="00EA7FD7">
      <w:pPr>
        <w:pStyle w:val="NormalWeb"/>
        <w:jc w:val="both"/>
      </w:pPr>
      <w:r>
        <w:t xml:space="preserve">Internal Audit’s </w:t>
      </w:r>
      <w:proofErr w:type="spellStart"/>
      <w:r w:rsidR="00EA7FD7">
        <w:t>recomputation</w:t>
      </w:r>
      <w:proofErr w:type="spellEnd"/>
      <w:r w:rsidR="00EA7FD7">
        <w:t xml:space="preserve"> notes show that for EMP0303 and EMP1829, acting allowance was not factored into SHIF, and for EMP0673 SHIF was wrongly calculated</w:t>
      </w:r>
      <w:r>
        <w:t xml:space="preserve"> for the period February 2026</w:t>
      </w:r>
      <w:r w:rsidR="00EA7FD7">
        <w:t>. This means the SHIF deduction logic was not consistently applied to all relevant earnings within the sample. Under current Kenyan rules, SHIF is charged at 2.75% of gross salary or wage, subject to a minimum monthly amount.</w:t>
      </w:r>
    </w:p>
    <w:p w14:paraId="5244F88F" w14:textId="01D8E461" w:rsidR="00EA7FD7" w:rsidRDefault="00A603B3" w:rsidP="00EA7FD7">
      <w:pPr>
        <w:pStyle w:val="NormalWeb"/>
        <w:jc w:val="both"/>
      </w:pPr>
      <w:r>
        <w:t>Impacted e</w:t>
      </w:r>
      <w:r w:rsidR="00EA7FD7">
        <w:t>mployees may be under- or over-deducted for SHIF, statutory remittances may be inaccurate, and the organization is exposed to compliance risk, employee disputes and rework during payroll corrections. Because the issue affects earning-code mapping, the error may extend beyond the sampled employees.</w:t>
      </w:r>
    </w:p>
    <w:p w14:paraId="3B006675" w14:textId="77777777" w:rsidR="00EA7FD7" w:rsidRDefault="00EA7FD7" w:rsidP="00EA7FD7">
      <w:pPr>
        <w:pStyle w:val="NormalWeb"/>
        <w:jc w:val="both"/>
      </w:pPr>
      <w:r>
        <w:t xml:space="preserve">Corrective action. Management should review all earning codes in Business Central and confirm whether each code should form part of the SHIF base. The SHIF setup should then be corrected and validated through end-to-end </w:t>
      </w:r>
      <w:proofErr w:type="spellStart"/>
      <w:r>
        <w:t>recomputation</w:t>
      </w:r>
      <w:proofErr w:type="spellEnd"/>
      <w:r>
        <w:t xml:space="preserve"> across employees with acting, house, fuel and other recurring allowances. Any variances since migration should be quantified and corrected.</w:t>
      </w:r>
    </w:p>
    <w:p w14:paraId="19676E8C" w14:textId="77777777" w:rsidR="00EA7FD7" w:rsidRPr="006526A4" w:rsidRDefault="00EA7FD7" w:rsidP="00EA7FD7">
      <w:pPr>
        <w:pStyle w:val="NormalWeb"/>
        <w:jc w:val="both"/>
        <w:rPr>
          <w:b/>
          <w:bCs/>
        </w:rPr>
      </w:pPr>
      <w:r w:rsidRPr="006526A4">
        <w:rPr>
          <w:b/>
          <w:bCs/>
        </w:rPr>
        <w:t>Observation 3: The payroll calculation defects are cascading into inaccurate excess pension taxation and net pay outcomes.</w:t>
      </w:r>
    </w:p>
    <w:p w14:paraId="3008B4BF" w14:textId="77777777" w:rsidR="00EA7FD7" w:rsidRDefault="00EA7FD7" w:rsidP="00EA7FD7">
      <w:pPr>
        <w:pStyle w:val="NormalWeb"/>
        <w:jc w:val="both"/>
      </w:pPr>
      <w:r>
        <w:t xml:space="preserve">Condition. Because employee pension was understated for several sampled employees, the downstream values dependent on pension were also misstated. In the sample, excess pension was understated by a total of KES 46,065.70. Since tax on excess pension is driven by the excess pension amount and marginal tax treatment, the understatement also affects tax deductions and final net pay for the affected employees. In the March 2026 </w:t>
      </w:r>
      <w:proofErr w:type="spellStart"/>
      <w:r>
        <w:t>payslip</w:t>
      </w:r>
      <w:proofErr w:type="spellEnd"/>
      <w:r>
        <w:t xml:space="preserve"> reviewed for EMP3866, the </w:t>
      </w:r>
      <w:proofErr w:type="spellStart"/>
      <w:r>
        <w:t>payslip</w:t>
      </w:r>
      <w:proofErr w:type="spellEnd"/>
      <w:r>
        <w:t xml:space="preserve"> also displayed “Taxable Pay 0.00” despite tax having been charged and PAYE deducted, showing a payroll reporting integrity defect in addition to calculation risk. </w:t>
      </w:r>
    </w:p>
    <w:p w14:paraId="590ACC97" w14:textId="77777777" w:rsidR="00EA7FD7" w:rsidRDefault="00EA7FD7" w:rsidP="00EA7FD7">
      <w:pPr>
        <w:pStyle w:val="NormalWeb"/>
        <w:jc w:val="both"/>
      </w:pPr>
      <w:r>
        <w:t xml:space="preserve">Criteria. Payroll outputs should accurately compute and present taxable pay, excess pension adjustments, PAYE and net pay, and reports generated from Business Central should be complete, accurate and reliable for user decision-making and audit trail purposes. PAYE should be computed using the applicable Kenyan bands and deductions. </w:t>
      </w:r>
    </w:p>
    <w:p w14:paraId="0E57A875" w14:textId="77777777" w:rsidR="00EA7FD7" w:rsidRDefault="00EA7FD7" w:rsidP="00EA7FD7">
      <w:pPr>
        <w:pStyle w:val="NormalWeb"/>
        <w:jc w:val="both"/>
      </w:pPr>
      <w:r>
        <w:t xml:space="preserve">Cause. Business Central appears to have a combination of configuration errors and report-field mapping defects. The configuration issue affects the pension base and related tax logic, while the </w:t>
      </w:r>
      <w:proofErr w:type="spellStart"/>
      <w:r>
        <w:t>payslip</w:t>
      </w:r>
      <w:proofErr w:type="spellEnd"/>
      <w:r>
        <w:t xml:space="preserve"> issue suggests that at least one reporting field is not pulling the correct calculated taxable-pay value.</w:t>
      </w:r>
    </w:p>
    <w:p w14:paraId="53E63DAF" w14:textId="77777777" w:rsidR="00EA7FD7" w:rsidRDefault="00EA7FD7" w:rsidP="00EA7FD7">
      <w:pPr>
        <w:pStyle w:val="NormalWeb"/>
        <w:jc w:val="both"/>
      </w:pPr>
      <w:r>
        <w:t xml:space="preserve">Consequence. Payroll outputs cannot be fully relied upon without independent </w:t>
      </w:r>
      <w:proofErr w:type="spellStart"/>
      <w:r>
        <w:t>recomputation</w:t>
      </w:r>
      <w:proofErr w:type="spellEnd"/>
      <w:r>
        <w:t>. This creates a real risk of employee underpayment or overpayment, inaccurate statutory deductions, avoidable management time spent resolving payroll complaints, and reduced confidence in the post-migration payroll environment.</w:t>
      </w:r>
    </w:p>
    <w:p w14:paraId="42D950B8" w14:textId="77777777" w:rsidR="00EA7FD7" w:rsidRDefault="00EA7FD7" w:rsidP="00EA7FD7">
      <w:pPr>
        <w:pStyle w:val="NormalWeb"/>
        <w:jc w:val="both"/>
      </w:pPr>
      <w:r>
        <w:t xml:space="preserve">Corrective action. Management should perform a full logic walkthrough of the payroll formula chain in Business Central, from earnings through statutory deductions, excess pension, PAYE and net pay, and separately validate the </w:t>
      </w:r>
      <w:proofErr w:type="spellStart"/>
      <w:r>
        <w:t>payslip</w:t>
      </w:r>
      <w:proofErr w:type="spellEnd"/>
      <w:r>
        <w:t>/report dataset fields against system-calculated values. A post-fix parallel run should be performed before the next live payroll.</w:t>
      </w:r>
    </w:p>
    <w:p w14:paraId="25FA7D22" w14:textId="77777777" w:rsidR="00EA7FD7" w:rsidRDefault="00EA7FD7" w:rsidP="00EA7FD7">
      <w:pPr>
        <w:pStyle w:val="NormalWeb"/>
        <w:jc w:val="both"/>
      </w:pPr>
      <w:r>
        <w:t>Overall conclusion. Based on the sample reviewed, the issue is not isolated. The pattern shows a systematic configuration weakness affecting employees whose compensation includes allowances, particularly where employee pension and SHIF depend on the correct earnings base. The strongest finding is the pension setup defect, because it directly drives excess pension, tax on excess pension and net pay. The SHIF issue is a parallel statutory compliance defect. Together, these support a control conclusion that payroll calculation logic in Business Central needs correction and retrospective validation for post-migration payroll periods.</w:t>
      </w:r>
    </w:p>
    <w:p w14:paraId="6BD214DB" w14:textId="77777777" w:rsidR="00EA7FD7" w:rsidRDefault="00EA7FD7" w:rsidP="00EA7FD7">
      <w:pPr>
        <w:jc w:val="both"/>
      </w:pPr>
    </w:p>
    <w:sectPr w:rsidR="00EA7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496"/>
    <w:multiLevelType w:val="multilevel"/>
    <w:tmpl w:val="D29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C45ED"/>
    <w:multiLevelType w:val="multilevel"/>
    <w:tmpl w:val="C626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63821"/>
    <w:multiLevelType w:val="multilevel"/>
    <w:tmpl w:val="618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86ADD"/>
    <w:multiLevelType w:val="multilevel"/>
    <w:tmpl w:val="BD7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C6B37"/>
    <w:multiLevelType w:val="multilevel"/>
    <w:tmpl w:val="CBF2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564033">
    <w:abstractNumId w:val="2"/>
  </w:num>
  <w:num w:numId="2" w16cid:durableId="1452435334">
    <w:abstractNumId w:val="4"/>
  </w:num>
  <w:num w:numId="3" w16cid:durableId="2009289163">
    <w:abstractNumId w:val="1"/>
  </w:num>
  <w:num w:numId="4" w16cid:durableId="1443308321">
    <w:abstractNumId w:val="0"/>
  </w:num>
  <w:num w:numId="5" w16cid:durableId="254091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27"/>
    <w:rsid w:val="00306F76"/>
    <w:rsid w:val="003B059A"/>
    <w:rsid w:val="00451EEC"/>
    <w:rsid w:val="006526A4"/>
    <w:rsid w:val="00A603B3"/>
    <w:rsid w:val="00A9094C"/>
    <w:rsid w:val="00C57074"/>
    <w:rsid w:val="00D44D7D"/>
    <w:rsid w:val="00EA7FD7"/>
    <w:rsid w:val="00EB6266"/>
    <w:rsid w:val="00F0713D"/>
    <w:rsid w:val="00F65036"/>
    <w:rsid w:val="00F81027"/>
    <w:rsid w:val="00F87307"/>
    <w:rsid w:val="00FD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6CAA"/>
  <w15:chartTrackingRefBased/>
  <w15:docId w15:val="{DDDDB858-BE4C-4FC3-BCC8-E35A8BF8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027"/>
    <w:rPr>
      <w:rFonts w:eastAsiaTheme="majorEastAsia" w:cstheme="majorBidi"/>
      <w:color w:val="272727" w:themeColor="text1" w:themeTint="D8"/>
    </w:rPr>
  </w:style>
  <w:style w:type="paragraph" w:styleId="Title">
    <w:name w:val="Title"/>
    <w:basedOn w:val="Normal"/>
    <w:next w:val="Normal"/>
    <w:link w:val="TitleChar"/>
    <w:uiPriority w:val="10"/>
    <w:qFormat/>
    <w:rsid w:val="00F81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027"/>
    <w:pPr>
      <w:spacing w:before="160"/>
      <w:jc w:val="center"/>
    </w:pPr>
    <w:rPr>
      <w:i/>
      <w:iCs/>
      <w:color w:val="404040" w:themeColor="text1" w:themeTint="BF"/>
    </w:rPr>
  </w:style>
  <w:style w:type="character" w:customStyle="1" w:styleId="QuoteChar">
    <w:name w:val="Quote Char"/>
    <w:basedOn w:val="DefaultParagraphFont"/>
    <w:link w:val="Quote"/>
    <w:uiPriority w:val="29"/>
    <w:rsid w:val="00F81027"/>
    <w:rPr>
      <w:i/>
      <w:iCs/>
      <w:color w:val="404040" w:themeColor="text1" w:themeTint="BF"/>
    </w:rPr>
  </w:style>
  <w:style w:type="paragraph" w:styleId="ListParagraph">
    <w:name w:val="List Paragraph"/>
    <w:basedOn w:val="Normal"/>
    <w:uiPriority w:val="34"/>
    <w:qFormat/>
    <w:rsid w:val="00F81027"/>
    <w:pPr>
      <w:ind w:left="720"/>
      <w:contextualSpacing/>
    </w:pPr>
  </w:style>
  <w:style w:type="character" w:styleId="IntenseEmphasis">
    <w:name w:val="Intense Emphasis"/>
    <w:basedOn w:val="DefaultParagraphFont"/>
    <w:uiPriority w:val="21"/>
    <w:qFormat/>
    <w:rsid w:val="00F81027"/>
    <w:rPr>
      <w:i/>
      <w:iCs/>
      <w:color w:val="2F5496" w:themeColor="accent1" w:themeShade="BF"/>
    </w:rPr>
  </w:style>
  <w:style w:type="paragraph" w:styleId="IntenseQuote">
    <w:name w:val="Intense Quote"/>
    <w:basedOn w:val="Normal"/>
    <w:next w:val="Normal"/>
    <w:link w:val="IntenseQuoteChar"/>
    <w:uiPriority w:val="30"/>
    <w:qFormat/>
    <w:rsid w:val="00F81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027"/>
    <w:rPr>
      <w:i/>
      <w:iCs/>
      <w:color w:val="2F5496" w:themeColor="accent1" w:themeShade="BF"/>
    </w:rPr>
  </w:style>
  <w:style w:type="character" w:styleId="IntenseReference">
    <w:name w:val="Intense Reference"/>
    <w:basedOn w:val="DefaultParagraphFont"/>
    <w:uiPriority w:val="32"/>
    <w:qFormat/>
    <w:rsid w:val="00F81027"/>
    <w:rPr>
      <w:b/>
      <w:bCs/>
      <w:smallCaps/>
      <w:color w:val="2F5496" w:themeColor="accent1" w:themeShade="BF"/>
      <w:spacing w:val="5"/>
    </w:rPr>
  </w:style>
  <w:style w:type="paragraph" w:styleId="NormalWeb">
    <w:name w:val="Normal (Web)"/>
    <w:basedOn w:val="Normal"/>
    <w:uiPriority w:val="99"/>
    <w:semiHidden/>
    <w:unhideWhenUsed/>
    <w:rsid w:val="00EA7FD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60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6</Pages>
  <Words>1761</Words>
  <Characters>10044</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Payroll Processing Accuracy &amp; Configuration Review – Microsoft Dynamics 365 Busi</vt:lpstr>
      <vt:lpstr>    Background</vt:lpstr>
      <vt:lpstr>    Purpose</vt:lpstr>
      <vt:lpstr>    Scope</vt:lpstr>
      <vt:lpstr>Audit Objectives and Key Risks</vt:lpstr>
      <vt:lpstr>    Objective 1: Payroll Calculation Accuracy</vt:lpstr>
      <vt:lpstr>    Objective 2: Payroll Configuration and System Parameter Integrity</vt:lpstr>
      <vt:lpstr>    Objective 3: Payroll Processing Controls and Approval Governance</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Omondi Ouma</dc:creator>
  <cp:keywords/>
  <dc:description/>
  <cp:lastModifiedBy>Fred Omondi Ouma</cp:lastModifiedBy>
  <cp:revision>3</cp:revision>
  <dcterms:created xsi:type="dcterms:W3CDTF">2026-03-06T09:22:00Z</dcterms:created>
  <dcterms:modified xsi:type="dcterms:W3CDTF">2026-03-17T13:58:00Z</dcterms:modified>
</cp:coreProperties>
</file>