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t xml:space="preserve"/>
      </w:r>
    </w:p>
    <w:p>
      <w:pPr>
        <w:jc w:val="center"/>
      </w:pPr>
      <w:r>
        <w:rPr>
          <w:rFonts w:ascii="Arial" w:cs="Arial" w:eastAsia="Arial" w:hAnsi="Arial"/>
          <w:b/>
          <w:bCs/>
          <w:color w:val="C00000"/>
          <w:sz w:val="40"/>
          <w:szCs w:val="40"/>
        </w:rPr>
        <w:t xml:space="preserve">KENYA RED CROSS SOCIETY</w:t>
      </w:r>
    </w:p>
    <w:p>
      <w:pPr>
        <w:spacing w:after="40"/>
        <w:jc w:val="center"/>
      </w:pPr>
      <w:r>
        <w:rPr>
          <w:rFonts w:ascii="Arial" w:cs="Arial" w:eastAsia="Arial" w:hAnsi="Arial"/>
          <w:b/>
          <w:bCs/>
          <w:color w:val="1F3864"/>
          <w:sz w:val="32"/>
          <w:szCs w:val="32"/>
        </w:rPr>
        <w:t xml:space="preserve">Internal Audit — ICT &amp; Digital Solutions</w:t>
      </w:r>
    </w:p>
    <w:p>
      <w:pPr>
        <w:spacing w:after="80" w:before="80"/>
      </w:pPr>
      <w:r>
        <w:t xml:space="preserve"/>
      </w:r>
    </w:p>
    <w:p>
      <w:pPr>
        <w:pBdr>
          <w:bottom w:val="thick" w:color="C00000" w:sz="12" w:space="8"/>
        </w:pBdr>
        <w:jc w:val="center"/>
      </w:pPr>
      <w:r>
        <w:rPr>
          <w:sz w:val="20"/>
          <w:szCs w:val="20"/>
        </w:rPr>
        <w:t xml:space="preserve"/>
      </w:r>
    </w:p>
    <w:p>
      <w:pPr>
        <w:spacing w:after="200" w:before="80"/>
      </w:pPr>
      <w:r>
        <w:t xml:space="preserve"/>
      </w:r>
    </w:p>
    <w:p>
      <w:pPr>
        <w:jc w:val="center"/>
      </w:pPr>
      <w:r>
        <w:rPr>
          <w:rFonts w:ascii="Arial" w:cs="Arial" w:eastAsia="Arial" w:hAnsi="Arial"/>
          <w:b/>
          <w:bCs/>
          <w:color w:val="1F3864"/>
          <w:sz w:val="44"/>
          <w:szCs w:val="44"/>
        </w:rPr>
        <w:t xml:space="preserve">ADVERSARIAL SECURITY ASSESSMENT REPORT</w:t>
      </w:r>
    </w:p>
    <w:p>
      <w:pPr>
        <w:spacing w:after="40"/>
        <w:jc w:val="center"/>
      </w:pPr>
      <w:r>
        <w:rPr>
          <w:rFonts w:ascii="Arial" w:cs="Arial" w:eastAsia="Arial" w:hAnsi="Arial"/>
          <w:b w:val="false"/>
          <w:bCs w:val="false"/>
          <w:color w:val="505050"/>
          <w:sz w:val="24"/>
          <w:szCs w:val="24"/>
        </w:rPr>
        <w:t xml:space="preserve">Platforms &amp; Integration Review — Digital Tools and Solutions 2026</w:t>
      </w:r>
    </w:p>
    <w:p>
      <w:pPr>
        <w:spacing w:after="80" w:before="200"/>
      </w:pPr>
      <w:r>
        <w:t xml:space="preserve"/>
      </w:r>
    </w:p>
    <w:p>
      <w:pPr>
        <w:pBdr>
          <w:bottom w:val="single" w:color="2E75B6" w:sz="4" w:space="4"/>
        </w:pBdr>
        <w:jc w:val="center"/>
      </w:pPr>
      <w:r>
        <w:rPr>
          <w:sz w:val="20"/>
          <w:szCs w:val="20"/>
        </w:rPr>
        <w:t xml:space="preserve"/>
      </w:r>
    </w:p>
    <w:p>
      <w:pPr>
        <w:spacing w:after="80" w:before="2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vAlign w:val="center"/>
          </w:tcPr>
          <w:p>
            <w:r>
              <w:rPr>
                <w:rFonts w:ascii="Arial" w:cs="Arial" w:eastAsia="Arial" w:hAnsi="Arial"/>
                <w:b/>
                <w:bCs/>
                <w:color w:val="FFFFFF"/>
                <w:sz w:val="18"/>
                <w:szCs w:val="18"/>
              </w:rPr>
              <w:t xml:space="preserve">CRITICAL</w:t>
            </w:r>
          </w:p>
        </w:tc>
        <w:tc>
          <w:tcPr>
            <w:tcW w:type="dxa" w:w="1750"/>
            <w:tcBorders>
              <w:top w:val="single" w:color="BFBFBF" w:sz="4"/>
              <w:left w:val="single" w:color="BFBFBF" w:sz="4"/>
              <w:bottom w:val="single" w:color="BFBFBF" w:sz="4"/>
              <w:right w:val="single" w:color="BFBFBF" w:sz="4"/>
            </w:tcBorders>
            <w:shd w:fill="E36C09" w:val="clear"/>
            <w:tcMar>
              <w:top w:type="dxa" w:w="80"/>
              <w:left w:type="dxa" w:w="120"/>
              <w:bottom w:type="dxa" w:w="80"/>
              <w:right w:type="dxa" w:w="120"/>
            </w:tcMar>
            <w:vAlign w:val="center"/>
          </w:tcPr>
          <w:p>
            <w:r>
              <w:rPr>
                <w:rFonts w:ascii="Arial" w:cs="Arial" w:eastAsia="Arial" w:hAnsi="Arial"/>
                <w:b/>
                <w:bCs/>
                <w:color w:val="FFFFFF"/>
                <w:sz w:val="18"/>
                <w:szCs w:val="18"/>
              </w:rPr>
              <w:t xml:space="preserve">HIGH</w:t>
            </w:r>
          </w:p>
        </w:tc>
        <w:tc>
          <w:tcPr>
            <w:tcW w:type="dxa" w:w="1750"/>
            <w:tcBorders>
              <w:top w:val="single" w:color="BFBFBF" w:sz="4"/>
              <w:left w:val="single" w:color="BFBFBF" w:sz="4"/>
              <w:bottom w:val="single" w:color="BFBFBF" w:sz="4"/>
              <w:right w:val="single" w:color="BFBFBF" w:sz="4"/>
            </w:tcBorders>
            <w:shd w:fill="9C6500" w:val="clear"/>
            <w:tcMar>
              <w:top w:type="dxa" w:w="80"/>
              <w:left w:type="dxa" w:w="120"/>
              <w:bottom w:type="dxa" w:w="80"/>
              <w:right w:type="dxa" w:w="120"/>
            </w:tcMar>
            <w:vAlign w:val="center"/>
          </w:tcPr>
          <w:p>
            <w:r>
              <w:rPr>
                <w:rFonts w:ascii="Arial" w:cs="Arial" w:eastAsia="Arial" w:hAnsi="Arial"/>
                <w:b/>
                <w:bCs/>
                <w:color w:val="FFFFFF"/>
                <w:sz w:val="18"/>
                <w:szCs w:val="18"/>
              </w:rPr>
              <w:t xml:space="preserve">MEDIUM</w:t>
            </w:r>
          </w:p>
        </w:tc>
        <w:tc>
          <w:tcPr>
            <w:tcW w:type="dxa" w:w="1750"/>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vAlign w:val="center"/>
          </w:tcPr>
          <w:p>
            <w:r>
              <w:rPr>
                <w:rFonts w:ascii="Arial" w:cs="Arial" w:eastAsia="Arial" w:hAnsi="Arial"/>
                <w:b/>
                <w:bCs/>
                <w:color w:val="FFFFFF"/>
                <w:sz w:val="18"/>
                <w:szCs w:val="18"/>
              </w:rPr>
              <w:t xml:space="preserve">LOW</w:t>
            </w:r>
          </w:p>
        </w:tc>
      </w:tr>
      <w:tr>
        <w:tc>
          <w:tcPr>
            <w:tcW w:type="dxa" w:w="175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center"/>
          </w:tcPr>
          <w:p>
            <w:r>
              <w:rPr>
                <w:rFonts w:ascii="Arial" w:cs="Arial" w:eastAsia="Arial" w:hAnsi="Arial"/>
                <w:b/>
                <w:bCs/>
                <w:color w:val="C00000"/>
                <w:sz w:val="52"/>
                <w:szCs w:val="52"/>
              </w:rPr>
              <w:t xml:space="preserve">4</w:t>
            </w:r>
          </w:p>
        </w:tc>
        <w:tc>
          <w:tcPr>
            <w:tcW w:type="dxa" w:w="175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r>
              <w:rPr>
                <w:rFonts w:ascii="Arial" w:cs="Arial" w:eastAsia="Arial" w:hAnsi="Arial"/>
                <w:b/>
                <w:bCs/>
                <w:color w:val="E36C09"/>
                <w:sz w:val="52"/>
                <w:szCs w:val="52"/>
              </w:rPr>
              <w:t xml:space="preserve">7</w:t>
            </w:r>
          </w:p>
        </w:tc>
        <w:tc>
          <w:tcPr>
            <w:tcW w:type="dxa" w:w="1750"/>
            <w:tcBorders>
              <w:top w:val="single" w:color="BFBFBF" w:sz="4"/>
              <w:left w:val="single" w:color="BFBFBF" w:sz="4"/>
              <w:bottom w:val="single" w:color="BFBFBF" w:sz="4"/>
              <w:right w:val="single" w:color="BFBFBF" w:sz="4"/>
            </w:tcBorders>
            <w:shd w:fill="FFFACD" w:val="clear"/>
            <w:tcMar>
              <w:top w:type="dxa" w:w="80"/>
              <w:left w:type="dxa" w:w="120"/>
              <w:bottom w:type="dxa" w:w="80"/>
              <w:right w:type="dxa" w:w="120"/>
            </w:tcMar>
            <w:vAlign w:val="center"/>
          </w:tcPr>
          <w:p>
            <w:r>
              <w:rPr>
                <w:rFonts w:ascii="Arial" w:cs="Arial" w:eastAsia="Arial" w:hAnsi="Arial"/>
                <w:b/>
                <w:bCs/>
                <w:color w:val="9C6500"/>
                <w:sz w:val="52"/>
                <w:szCs w:val="52"/>
              </w:rPr>
              <w:t xml:space="preserve">8</w:t>
            </w:r>
          </w:p>
        </w:tc>
        <w:tc>
          <w:tcPr>
            <w:tcW w:type="dxa" w:w="175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r>
              <w:rPr>
                <w:rFonts w:ascii="Arial" w:cs="Arial" w:eastAsia="Arial" w:hAnsi="Arial"/>
                <w:b/>
                <w:bCs/>
                <w:color w:val="375623"/>
                <w:sz w:val="52"/>
                <w:szCs w:val="52"/>
              </w:rPr>
              <w:t xml:space="preserve">4</w:t>
            </w:r>
          </w:p>
        </w:tc>
      </w:tr>
    </w:tbl>
    <w:p>
      <w:pPr>
        <w:spacing w:after="200" w:before="2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Audit Scope</w:t>
            </w:r>
          </w:p>
        </w:tc>
        <w:tc>
          <w:tcPr>
            <w:tcW w:type="dxa" w:w="4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Audit Title</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Platforms &amp; Integration Review — Digital Tools and Solutions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Report Date</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April 22,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Prepared By</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Fred Ouma | CISA, CISM, CPA(K), ISO 27001 Lead Auditor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Systems Reviewed</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53 systems across cloud, on-premises, and SaaS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Systems with URLs</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 public-facing web properties + 46 application/ERP/cloud systems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Confirmed Live Findings</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findings verified via active reconnaissance (F-22, F-23 — Elementor exposure, redcross.or.ke)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Attack Chains Identified</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multi-step exploit chains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Frameworks Applied</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Top 10, OWASP API Security Top 10, NIST CSF, ISO 27001, KDPA 2019</w:t>
            </w:r>
          </w:p>
        </w:tc>
      </w:tr>
    </w:tbl>
    <w:p>
      <w:pPr>
        <w:spacing w:after="80" w:before="400"/>
      </w:pPr>
      <w:r>
        <w:t xml:space="preserve"/>
      </w:r>
    </w:p>
    <w:p>
      <w:pPr>
        <w:spacing w:after="40"/>
        <w:jc w:val="center"/>
      </w:pPr>
      <w:r>
        <w:rPr>
          <w:rFonts w:ascii="Arial" w:cs="Arial" w:eastAsia="Arial" w:hAnsi="Arial"/>
          <w:b/>
          <w:bCs/>
          <w:color w:val="C00000"/>
          <w:sz w:val="20"/>
          <w:szCs w:val="20"/>
        </w:rPr>
        <w:t xml:space="preserve">CONFIDENTIAL — FOR INTERNAL AUDIT USE ONLY</w:t>
      </w:r>
    </w:p>
    <w:p>
      <w:r>
        <w:br w:type="page"/>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1F3864"/>
          <w:sz w:val="36"/>
          <w:szCs w:val="36"/>
        </w:rPr>
        <w:t xml:space="preserve">1. Executive Summary</w:t>
      </w:r>
    </w:p>
    <w:p>
      <w:pPr>
        <w:spacing w:after="120"/>
      </w:pPr>
      <w:r>
        <w:rPr>
          <w:rFonts w:ascii="Arial" w:cs="Arial" w:eastAsia="Arial" w:hAnsi="Arial"/>
          <w:color w:val="202020"/>
          <w:sz w:val="20"/>
          <w:szCs w:val="20"/>
        </w:rPr>
        <w:t xml:space="preserve">This report presents the results of an adversarial security assessment conducted as part of the 2026 Internal Audit of Digital Tools and Solutions used by Kenya Red Cross Society (KRCS). The assessment was performed against the full asset inventory of 53 systems spanning cloud-hosted, on-premises, and SaaS platforms, guided by five defined audit objectives (OBJ-001 through OBJ-005).</w:t>
      </w:r>
    </w:p>
    <w:p>
      <w:pPr>
        <w:spacing w:after="120"/>
      </w:pPr>
      <w:r>
        <w:rPr>
          <w:rFonts w:ascii="Arial" w:cs="Arial" w:eastAsia="Arial" w:hAnsi="Arial"/>
          <w:color w:val="202020"/>
          <w:sz w:val="20"/>
          <w:szCs w:val="20"/>
        </w:rPr>
        <w:t xml:space="preserve">The assessment methodology adopted an attacker's perspective — actively looking for logic flaws, chained attack paths, and non-obvious risks rather than confining the review to known vulnerability checklists. The following frameworks guided the analysis: OWASP Web Application Security Top 10, OWASP API Security Top 10 (2023 edition), NIST Cybersecurity Framework, ISO/IEC 27001:2022, and the Kenya Data Protection Act 2019.</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Key Findings at a Glance</w:t>
      </w:r>
    </w:p>
    <w:p>
      <w:pPr>
        <w:spacing w:after="120"/>
      </w:pPr>
      <w:r>
        <w:rPr>
          <w:rFonts w:ascii="Arial" w:cs="Arial" w:eastAsia="Arial" w:hAnsi="Arial"/>
          <w:color w:val="202020"/>
          <w:sz w:val="20"/>
          <w:szCs w:val="20"/>
        </w:rPr>
        <w:t xml:space="preserve">23 findings were identified across the portfolio, of which 4 are rated Critical and 7 are rated High. Two findings (F-22 and F-23) are confirmed live findings verified through active reconnaissance during this audit engagement. The four Critical findings require immediate management attention and executive escalation:</w:t>
      </w:r>
    </w:p>
    <w:p>
      <w:pPr>
        <w:pStyle w:val="ListParagraph"/>
        <w:numPr>
          <w:ilvl w:val="0"/>
          <w:numId w:val="2"/>
        </w:numPr>
        <w:spacing w:after="60"/>
      </w:pPr>
      <w:r>
        <w:rPr>
          <w:rFonts w:ascii="Arial" w:cs="Arial" w:eastAsia="Arial" w:hAnsi="Arial"/>
          <w:color w:val="202020"/>
          <w:sz w:val="20"/>
          <w:szCs w:val="20"/>
        </w:rPr>
        <w:t xml:space="preserve">Microsoft Dynamics NAV 2016 reached its Microsoft end-of-life date on April 14, 2026 — eight days before this report. The system is in active production with 561 users and holds financial, HR, and vendor banking data. No further security patches will be issued.</w:t>
      </w:r>
    </w:p>
    <w:p>
      <w:pPr>
        <w:pStyle w:val="ListParagraph"/>
        <w:numPr>
          <w:ilvl w:val="0"/>
          <w:numId w:val="2"/>
        </w:numPr>
        <w:spacing w:after="60"/>
      </w:pPr>
      <w:r>
        <w:rPr>
          <w:rFonts w:ascii="Arial" w:cs="Arial" w:eastAsia="Arial" w:hAnsi="Arial"/>
          <w:color w:val="202020"/>
          <w:sz w:val="20"/>
          <w:szCs w:val="20"/>
        </w:rPr>
        <w:t xml:space="preserve">Service account passwords and database connection strings are stored in plaintext .config files on the NAV 2016 server, enabling credential theft without brute force.</w:t>
      </w:r>
    </w:p>
    <w:p>
      <w:pPr>
        <w:pStyle w:val="ListParagraph"/>
        <w:numPr>
          <w:ilvl w:val="0"/>
          <w:numId w:val="2"/>
        </w:numPr>
        <w:spacing w:after="60"/>
      </w:pPr>
      <w:r>
        <w:rPr>
          <w:rFonts w:ascii="Arial" w:cs="Arial" w:eastAsia="Arial" w:hAnsi="Arial"/>
          <w:color w:val="202020"/>
          <w:sz w:val="20"/>
          <w:szCs w:val="20"/>
        </w:rPr>
        <w:t xml:space="preserve">All six public WordPress websites expose the /xmlrpc.php endpoint, which allows brute-force amplification attacks that bypass standard lockout controls.</w:t>
      </w:r>
    </w:p>
    <w:p>
      <w:pPr>
        <w:pStyle w:val="ListParagraph"/>
        <w:numPr>
          <w:ilvl w:val="0"/>
          <w:numId w:val="2"/>
        </w:numPr>
        <w:spacing w:after="60"/>
      </w:pPr>
      <w:r>
        <w:rPr>
          <w:rFonts w:ascii="Arial" w:cs="Arial" w:eastAsia="Arial" w:hAnsi="Arial"/>
          <w:color w:val="202020"/>
          <w:sz w:val="20"/>
          <w:szCs w:val="20"/>
        </w:rPr>
        <w:t xml:space="preserve">All EspoCRM instances (at least 10 AWS-hosted systems) are potentially affected by a password hash enumeration vulnerability that allows any authenticated user to reconstruct administrator passwords.</w:t>
      </w:r>
    </w:p>
    <w:p>
      <w:pPr>
        <w:spacing w:after="80" w:before="80"/>
      </w:pPr>
      <w:r>
        <w:t xml:space="preserve"/>
      </w:r>
    </w:p>
    <w:p>
      <w:pPr>
        <w:spacing w:after="120"/>
      </w:pPr>
      <w:r>
        <w:rPr>
          <w:rFonts w:ascii="Arial" w:cs="Arial" w:eastAsia="Arial" w:hAnsi="Arial"/>
          <w:color w:val="202020"/>
          <w:sz w:val="20"/>
          <w:szCs w:val="20"/>
        </w:rPr>
        <w:t xml:space="preserve">Two High-severity findings (F-22 and F-23) are confirmed via live reconnaissance: an Elementor draft page at https://redcross.or.ke/elementor-page-11374/ was found indexed in Google search results, confirming both the Elementor plugin installation and the public exposure of unpublished page content. Given Elementor's active vulnerability history in 2025-2026 (Stored XSS through version 3.29.0, Arbitrary File Read through 3.30.2, and CVE-2026-1206 in 2026), this represents an immediately exploitable attack vector on the organisation's primary public website.</w:t>
      </w:r>
    </w:p>
    <w:p>
      <w:pPr>
        <w:spacing w:after="120"/>
      </w:pPr>
      <w:r>
        <w:rPr>
          <w:rFonts w:ascii="Arial" w:cs="Arial" w:eastAsia="Arial" w:hAnsi="Arial"/>
          <w:color w:val="202020"/>
          <w:sz w:val="20"/>
          <w:szCs w:val="20"/>
        </w:rPr>
        <w:t xml:space="preserve">Beyond the Critical findings, the assessment identified three multi-step attack chains that combine lower-severity findings into high-impact exploits, including a chain that leads from a public WordPress site to the financial ERP system, and a chain that routes through Frappe's open redirect and stored XSS vulnerabilities to MPESA payment fraud.</w:t>
      </w:r>
    </w:p>
    <w:p>
      <w:pPr>
        <w:spacing w:after="120"/>
      </w:pPr>
      <w:r>
        <w:rPr>
          <w:rFonts w:ascii="Arial" w:cs="Arial" w:eastAsia="Arial" w:hAnsi="Arial"/>
          <w:color w:val="202020"/>
          <w:sz w:val="20"/>
          <w:szCs w:val="20"/>
        </w:rPr>
        <w:t xml:space="preserve">A pervasive gap identified across the portfolio is the absence of documented security controls in the asset inventory itself — authentication methods, encryption status, audit logging, and data classification are blank for the majority of KRCS-developed systems. This documentation gap limits the organisation's ability to manage risk, respond to incidents, and demonstrate compliance with KDPA 2019.</w:t>
      </w:r>
    </w:p>
    <w:p>
      <w:pPr>
        <w:spacing w:after="80" w:before="80"/>
      </w:pPr>
      <w:r>
        <w:t xml:space="preserve"/>
      </w:r>
    </w:p>
    <w:p>
      <w:pPr>
        <w:pStyle w:val="Heading1"/>
        <w:pageBreakBefore/>
      </w:pPr>
      <w:r>
        <w:rPr>
          <w:rFonts w:ascii="Arial" w:cs="Arial" w:eastAsia="Arial" w:hAnsi="Arial"/>
          <w:b/>
          <w:bCs/>
          <w:color w:val="1F3864"/>
          <w:sz w:val="36"/>
          <w:szCs w:val="36"/>
        </w:rPr>
        <w:t xml:space="preserve">2. Audit Scope &amp; Methodology</w:t>
      </w:r>
    </w:p>
    <w:p>
      <w:pPr>
        <w:pStyle w:val="Heading2"/>
        <w:spacing w:after="120" w:before="240"/>
      </w:pPr>
      <w:r>
        <w:rPr>
          <w:rFonts w:ascii="Arial" w:cs="Arial" w:eastAsia="Arial" w:hAnsi="Arial"/>
          <w:b/>
          <w:bCs/>
          <w:color w:val="2E75B6"/>
          <w:sz w:val="28"/>
          <w:szCs w:val="28"/>
        </w:rPr>
        <w:t xml:space="preserve">2.1 Systems in Scope</w:t>
      </w:r>
    </w:p>
    <w:p>
      <w:pPr>
        <w:spacing w:after="120"/>
      </w:pPr>
      <w:r>
        <w:rPr>
          <w:rFonts w:ascii="Arial" w:cs="Arial" w:eastAsia="Arial" w:hAnsi="Arial"/>
          <w:color w:val="202020"/>
          <w:sz w:val="20"/>
          <w:szCs w:val="20"/>
        </w:rPr>
        <w:t xml:space="preserve">The following system categories were assessed based on the KRCS asset inventory and audit planning documentation:</w:t>
      </w:r>
    </w:p>
    <w:p>
      <w:pPr>
        <w:pStyle w:val="ListParagraph"/>
        <w:numPr>
          <w:ilvl w:val="0"/>
          <w:numId w:val="2"/>
        </w:numPr>
        <w:spacing w:after="60"/>
      </w:pPr>
      <w:r>
        <w:rPr>
          <w:rFonts w:ascii="Arial" w:cs="Arial" w:eastAsia="Arial" w:hAnsi="Arial"/>
          <w:color w:val="202020"/>
          <w:sz w:val="20"/>
          <w:szCs w:val="20"/>
        </w:rPr>
        <w:t xml:space="preserve">7 public-facing WordPress websites (Hostinger, AWS): redcross.or.ke, giftshop.redcross.or.ke, krcti.ac.ke, digital.redcross.or.ke, iome.ke, icha.net, lamumedical.redcross.or.ke</w:t>
      </w:r>
    </w:p>
    <w:p>
      <w:pPr>
        <w:pStyle w:val="ListParagraph"/>
        <w:numPr>
          <w:ilvl w:val="0"/>
          <w:numId w:val="2"/>
        </w:numPr>
        <w:spacing w:after="60"/>
      </w:pPr>
      <w:r>
        <w:rPr>
          <w:rFonts w:ascii="Arial" w:cs="Arial" w:eastAsia="Arial" w:hAnsi="Arial"/>
          <w:color w:val="202020"/>
          <w:sz w:val="20"/>
          <w:szCs w:val="20"/>
        </w:rPr>
        <w:t xml:space="preserve">2 on-premises ERP systems: Microsoft Dynamics NAV 2016 (561 users) and Microsoft Dynamics 365 Business Central (154 users)</w:t>
      </w:r>
    </w:p>
    <w:p>
      <w:pPr>
        <w:pStyle w:val="ListParagraph"/>
        <w:numPr>
          <w:ilvl w:val="0"/>
          <w:numId w:val="2"/>
        </w:numPr>
        <w:spacing w:after="60"/>
      </w:pPr>
      <w:r>
        <w:rPr>
          <w:rFonts w:ascii="Arial" w:cs="Arial" w:eastAsia="Arial" w:hAnsi="Arial"/>
          <w:color w:val="202020"/>
          <w:sz w:val="20"/>
          <w:szCs w:val="20"/>
        </w:rPr>
        <w:t xml:space="preserve">10+ EspoCRM-based platforms (AWS): Community Feedback Platform, KRCTI Certificate System, Asset Tracking, Digital Engagement Hub, and others</w:t>
      </w:r>
    </w:p>
    <w:p>
      <w:pPr>
        <w:pStyle w:val="ListParagraph"/>
        <w:numPr>
          <w:ilvl w:val="0"/>
          <w:numId w:val="2"/>
        </w:numPr>
        <w:spacing w:after="60"/>
      </w:pPr>
      <w:r>
        <w:rPr>
          <w:rFonts w:ascii="Arial" w:cs="Arial" w:eastAsia="Arial" w:hAnsi="Arial"/>
          <w:color w:val="202020"/>
          <w:sz w:val="20"/>
          <w:szCs w:val="20"/>
        </w:rPr>
        <w:t xml:space="preserve">5 Frappe/ERPNext-based platforms (Cloud/AWS): OneRC_VMMS, Red Hive, Frappe POS, KRCTI SMS, Lamu Rehab</w:t>
      </w:r>
    </w:p>
    <w:p>
      <w:pPr>
        <w:pStyle w:val="ListParagraph"/>
        <w:numPr>
          <w:ilvl w:val="0"/>
          <w:numId w:val="2"/>
        </w:numPr>
        <w:spacing w:after="60"/>
      </w:pPr>
      <w:r>
        <w:rPr>
          <w:rFonts w:ascii="Arial" w:cs="Arial" w:eastAsia="Arial" w:hAnsi="Arial"/>
          <w:color w:val="202020"/>
          <w:sz w:val="20"/>
          <w:szCs w:val="20"/>
        </w:rPr>
        <w:t xml:space="preserve">3 Moodle-based LMS platforms (AWS): eLearning KRCTI, Tuseme Platform, YouRED</w:t>
      </w:r>
    </w:p>
    <w:p>
      <w:pPr>
        <w:pStyle w:val="ListParagraph"/>
        <w:numPr>
          <w:ilvl w:val="0"/>
          <w:numId w:val="2"/>
        </w:numPr>
        <w:spacing w:after="60"/>
      </w:pPr>
      <w:r>
        <w:rPr>
          <w:rFonts w:ascii="Arial" w:cs="Arial" w:eastAsia="Arial" w:hAnsi="Arial"/>
          <w:color w:val="202020"/>
          <w:sz w:val="20"/>
          <w:szCs w:val="20"/>
        </w:rPr>
        <w:t xml:space="preserve">In-house Python/Django applications: CBS (legacy), CBSX, EOC System, GF SR Reporting</w:t>
      </w:r>
    </w:p>
    <w:p>
      <w:pPr>
        <w:pStyle w:val="ListParagraph"/>
        <w:numPr>
          <w:ilvl w:val="0"/>
          <w:numId w:val="2"/>
        </w:numPr>
        <w:spacing w:after="60"/>
      </w:pPr>
      <w:r>
        <w:rPr>
          <w:rFonts w:ascii="Arial" w:cs="Arial" w:eastAsia="Arial" w:hAnsi="Arial"/>
          <w:color w:val="202020"/>
          <w:sz w:val="20"/>
          <w:szCs w:val="20"/>
        </w:rPr>
        <w:t xml:space="preserve">In-house PHP/Laravel applications: GF Data Hub, legacy VMMS</w:t>
      </w:r>
    </w:p>
    <w:p>
      <w:pPr>
        <w:pStyle w:val="ListParagraph"/>
        <w:numPr>
          <w:ilvl w:val="0"/>
          <w:numId w:val="2"/>
        </w:numPr>
        <w:spacing w:after="60"/>
      </w:pPr>
      <w:r>
        <w:rPr>
          <w:rFonts w:ascii="Arial" w:cs="Arial" w:eastAsia="Arial" w:hAnsi="Arial"/>
          <w:color w:val="202020"/>
          <w:sz w:val="20"/>
          <w:szCs w:val="20"/>
        </w:rPr>
        <w:t xml:space="preserve">On-premises management tools: Kaspersky Security Center, Snipe-IT, Spiceworks</w:t>
      </w:r>
    </w:p>
    <w:p>
      <w:pPr>
        <w:pStyle w:val="ListParagraph"/>
        <w:numPr>
          <w:ilvl w:val="0"/>
          <w:numId w:val="2"/>
        </w:numPr>
        <w:spacing w:after="60"/>
      </w:pPr>
      <w:r>
        <w:rPr>
          <w:rFonts w:ascii="Arial" w:cs="Arial" w:eastAsia="Arial" w:hAnsi="Arial"/>
          <w:color w:val="202020"/>
          <w:sz w:val="20"/>
          <w:szCs w:val="20"/>
        </w:rPr>
        <w:t xml:space="preserve">10 legacy/retired/deprecated systems still documented in the inventory</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2.2 Audit Objectives Mapped to This 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Objective ID</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Objective Title</w:t>
            </w:r>
          </w:p>
        </w:tc>
        <w:tc>
          <w:tcPr>
            <w:tcW w:type="dxa" w:w="4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Security Assessment Focus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OBJ-001</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Baseline Security Configurations &amp; Hardening</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Security headers, patch status, EOL systems, legacy exposure, hardening standards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OBJ-002</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Data Flow &amp; Integration Security</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API security, encryption in transit, MPESA integration controls, rate limiting</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OBJ-003</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Access Management Models</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MFA enforcement, privilege escalation paths, user enumeration, session management</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OBJ-004</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Change Management &amp; UAT</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Legacy/deprecated system lifecycle, patch management cadence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OBJ-005</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Data Retention &amp; Privacy</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Encryption at rest, backup adequacy, KDPA 2019 compliance, data disposal</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2.3 Methodology</w:t>
      </w:r>
    </w:p>
    <w:p>
      <w:pPr>
        <w:spacing w:after="120"/>
      </w:pPr>
      <w:r>
        <w:rPr>
          <w:rFonts w:ascii="Arial" w:cs="Arial" w:eastAsia="Arial" w:hAnsi="Arial"/>
          <w:color w:val="202020"/>
          <w:sz w:val="20"/>
          <w:szCs w:val="20"/>
        </w:rPr>
        <w:t xml:space="preserve">This assessment applied a red-team and adversarial review methodology, structured around four analytical lenses:</w:t>
      </w:r>
    </w:p>
    <w:p>
      <w:pPr>
        <w:pStyle w:val="ListParagraph"/>
        <w:numPr>
          <w:ilvl w:val="0"/>
          <w:numId w:val="2"/>
        </w:numPr>
        <w:spacing w:after="60"/>
      </w:pPr>
      <w:r>
        <w:rPr>
          <w:rFonts w:ascii="Arial" w:cs="Arial" w:eastAsia="Arial" w:hAnsi="Arial"/>
          <w:color w:val="202020"/>
          <w:sz w:val="20"/>
          <w:szCs w:val="20"/>
        </w:rPr>
        <w:t xml:space="preserve">Threat Modelling — Attacker profiles defined (anonymous external, authenticated user, insider, API consumer), entry points mapped, trust boundaries identified, and sensitive assets catalogued.</w:t>
      </w:r>
    </w:p>
    <w:p>
      <w:pPr>
        <w:pStyle w:val="ListParagraph"/>
        <w:numPr>
          <w:ilvl w:val="0"/>
          <w:numId w:val="2"/>
        </w:numPr>
        <w:spacing w:after="60"/>
      </w:pPr>
      <w:r>
        <w:rPr>
          <w:rFonts w:ascii="Arial" w:cs="Arial" w:eastAsia="Arial" w:hAnsi="Arial"/>
          <w:color w:val="202020"/>
          <w:sz w:val="20"/>
          <w:szCs w:val="20"/>
        </w:rPr>
        <w:t xml:space="preserve">Vulnerability Analysis — Technology stacks assessed against current CVE databases (CVE Details, NIST NVD, vendor security bulletins) for known vulnerabilities. Assessment covers authentication/authorisation, input handling, data security, API security, infrastructure configuration, and supply chain risk.</w:t>
      </w:r>
    </w:p>
    <w:p>
      <w:pPr>
        <w:pStyle w:val="ListParagraph"/>
        <w:numPr>
          <w:ilvl w:val="0"/>
          <w:numId w:val="2"/>
        </w:numPr>
        <w:spacing w:after="60"/>
      </w:pPr>
      <w:r>
        <w:rPr>
          <w:rFonts w:ascii="Arial" w:cs="Arial" w:eastAsia="Arial" w:hAnsi="Arial"/>
          <w:color w:val="202020"/>
          <w:sz w:val="20"/>
          <w:szCs w:val="20"/>
        </w:rPr>
        <w:t xml:space="preserve">Attack Chain Construction — Individual findings combined to identify multi-step exploit paths that transform low-severity issues into critical-impact scenarios.</w:t>
      </w:r>
    </w:p>
    <w:p>
      <w:pPr>
        <w:pStyle w:val="ListParagraph"/>
        <w:numPr>
          <w:ilvl w:val="0"/>
          <w:numId w:val="2"/>
        </w:numPr>
        <w:spacing w:after="60"/>
      </w:pPr>
      <w:r>
        <w:rPr>
          <w:rFonts w:ascii="Arial" w:cs="Arial" w:eastAsia="Arial" w:hAnsi="Arial"/>
          <w:color w:val="202020"/>
          <w:sz w:val="20"/>
          <w:szCs w:val="20"/>
        </w:rPr>
        <w:t xml:space="preserve">Compliance Mapping — Findings assessed against KDPA 2019, ISO 27001:2022 Annex A controls, and OWASP frameworks.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2.4 Threat Actor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Profile</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4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Relevant Entry Points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Anonymous External</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Unauthenticated internet attacker; opportunistic or targeted</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WordPress sites, Moodle public APIs, NAV OData endpoints, EspoCRM login pages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Authenticated User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Community member, volunteer, or partner with a low-privilege account</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EspoCRM REST API, Frappe user portal, Moodle LMS, VMMS volunteer portal</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Insider Threat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Current or former KRCS staff member with system access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NAV 2016 direct SQL access, config file access, Active Directory, EspoCRM admin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API Consumer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Third-party integration or developer with API access (MPESA, Kobo, IFRC)</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MPESA webhooks, Kobo API, CBSX REST endpoints, EspoCRM API</w:t>
            </w:r>
          </w:p>
        </w:tc>
      </w:tr>
    </w:tbl>
    <w:p>
      <w:pPr>
        <w:spacing w:after="80" w:before="80"/>
      </w:pPr>
      <w:r>
        <w:t xml:space="preserve"/>
      </w:r>
    </w:p>
    <w:p>
      <w:pPr>
        <w:pStyle w:val="Heading1"/>
        <w:pageBreakBefore/>
      </w:pPr>
      <w:r>
        <w:rPr>
          <w:rFonts w:ascii="Arial" w:cs="Arial" w:eastAsia="Arial" w:hAnsi="Arial"/>
          <w:b/>
          <w:bCs/>
          <w:color w:val="1F3864"/>
          <w:sz w:val="36"/>
          <w:szCs w:val="36"/>
        </w:rPr>
        <w:t xml:space="preserve">3. Threat Intelligence &amp; Contextual Risk</w:t>
      </w:r>
    </w:p>
    <w:p>
      <w:pPr>
        <w:spacing w:after="120"/>
      </w:pPr>
      <w:r>
        <w:rPr>
          <w:rFonts w:ascii="Arial" w:cs="Arial" w:eastAsia="Arial" w:hAnsi="Arial"/>
          <w:color w:val="202020"/>
          <w:sz w:val="20"/>
          <w:szCs w:val="20"/>
        </w:rPr>
        <w:t xml:space="preserve">This section presents threat intelligence gathered during the assessment that contextualises the vulnerability findings within KRCS's specific operating environment — including the Kenyan cyber threat landscape and relevant precedent incidents affecting Red Cross organisations globally.</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3.1 Kenyan Cyber Threat Landscape — Active Threat Actors</w:t>
      </w:r>
    </w:p>
    <w:p>
      <w:pPr>
        <w:spacing w:after="120"/>
      </w:pPr>
      <w:r>
        <w:rPr>
          <w:rFonts w:ascii="Arial" w:cs="Arial" w:eastAsia="Arial" w:hAnsi="Arial"/>
          <w:color w:val="202020"/>
          <w:sz w:val="20"/>
          <w:szCs w:val="20"/>
        </w:rPr>
        <w:t xml:space="preserve">In November 2025, a coordinated hacktivist group ('PCP@Kenya') successfully defaced websites belonging to the Kenyan Presidency and multiple government ministries including Health, Education, Labour, Environment, ICT, Tourism, Energy, Water, and Interior. The attack vector was exploitation of web server vulnerabilities — the same category of vulnerability (unpatched web application software, absent security hardening) that affects KRCS's WordPress estate. The attack demonstrated that motivated threat actors are actively targeting Kenyan public-sector and civil society web infrastructure, and have the capability to achieve simultaneous compromise across multiple sites in a coordinated campaign.</w:t>
      </w:r>
    </w:p>
    <w:p>
      <w:pPr>
        <w:spacing w:after="120"/>
      </w:pPr>
      <w:r>
        <w:rPr>
          <w:rFonts w:ascii="Arial" w:cs="Arial" w:eastAsia="Arial" w:hAnsi="Arial"/>
          <w:color w:val="202020"/>
          <w:sz w:val="20"/>
          <w:szCs w:val="20"/>
        </w:rPr>
        <w:t xml:space="preserve">KRCS, as a well-known humanitarian organisation with a prominent digital presence, sits in the same threat landscape as the defaced government ministries. The redcross.or.ke domain is among the most visible civil society URLs in Kenya and would be a high-value defacement target for ideologically or financially motivated attackers. The confirmed exposure of the Elementor draft page (F-22) and the xmlrpc.php attack surface (F-03) mean that the technical barriers to such a compromise are currently low.</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3.2 Red Cross Brand as a High-Value Target — ICRC 2022 Breach Precedent</w:t>
      </w:r>
    </w:p>
    <w:p>
      <w:pPr>
        <w:spacing w:after="120"/>
      </w:pPr>
      <w:r>
        <w:rPr>
          <w:rFonts w:ascii="Arial" w:cs="Arial" w:eastAsia="Arial" w:hAnsi="Arial"/>
          <w:color w:val="202020"/>
          <w:sz w:val="20"/>
          <w:szCs w:val="20"/>
        </w:rPr>
        <w:t xml:space="preserve">In January 2022, the International Committee of the Red Cross (ICRC) — the closest organisational peer to KRCS at the global level — suffered a sophisticated cyberattack attributed to state-sponsored threat actors. The attack compromised personal data and confidential information of over 515,000 highly vulnerable people, including missing persons, detainees, and refugees across multiple Red Cross programmes worldwide. The attack vector was an unpatched critical vulnerability in authentication software (Zoho ManageEngine ADSelfService Plus), which allowed the attackers to bypass authentication, compromise administrator credentials, and move laterally through ICRC systems to exfiltrate data over an extended period.</w:t>
      </w:r>
    </w:p>
    <w:p>
      <w:pPr>
        <w:spacing w:after="120"/>
      </w:pPr>
      <w:r>
        <w:rPr>
          <w:rFonts w:ascii="Arial" w:cs="Arial" w:eastAsia="Arial" w:hAnsi="Arial"/>
          <w:color w:val="202020"/>
          <w:sz w:val="20"/>
          <w:szCs w:val="20"/>
        </w:rPr>
        <w:t xml:space="preserve">This precedent is directly relevant to KRCS for two reasons. First, the Red Cross brand specifically attracts state-sponsored and politically motivated threat actors, given the sensitivity of the humanitarian data held by Red Cross organisations (beneficiary lists, displacement data, health records, community informants). Second, the attack vector — unpatched authentication software enabling admin credential compromise — is structurally identical to the risks identified in this assessment: NAV 2016 with unpatched CVEs (F-01), absent MFA (F-05), and EspoCRM hash enumeration enabling admin password recovery (F-04).</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3.3 Live Reconnaissance Summary — April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Domain</w:t>
            </w:r>
          </w:p>
        </w:tc>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Performed</w:t>
            </w:r>
          </w:p>
        </w:tc>
        <w:tc>
          <w:tcPr>
            <w:tcW w:type="dxa" w:w="4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Outcome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redcross.or.ke</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Google dorking / cache analysis</w:t>
            </w:r>
          </w:p>
        </w:tc>
        <w:tc>
          <w:tcPr>
            <w:tcW w:type="dxa" w:w="48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center"/>
          </w:tcPr>
          <w:p>
            <w:r>
              <w:rPr>
                <w:rFonts w:ascii="Arial" w:cs="Arial" w:eastAsia="Arial" w:hAnsi="Arial"/>
                <w:b w:val="false"/>
                <w:bCs w:val="false"/>
                <w:color w:val="C00000"/>
                <w:sz w:val="18"/>
                <w:szCs w:val="18"/>
              </w:rPr>
              <w:t xml:space="preserve">CONFIRMED: Elementor plugin installed. Draft page /elementor-page-11374/ publicly indexed by Google. See F-22, F-23.</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redcross.or.ke</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Technology fingerprinting via search</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CONFIRMED: Elementor page builder in active use. Plugin version and additional add-ons unknown — requires direct site access to verify patch status.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krcti.ac.ke</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Security header check</w:t>
            </w:r>
          </w:p>
        </w:tc>
        <w:tc>
          <w:tcPr>
            <w:tcW w:type="dxa" w:w="4800"/>
            <w:tcBorders>
              <w:top w:val="single" w:color="BFBFBF" w:sz="4"/>
              <w:left w:val="single" w:color="BFBFBF" w:sz="4"/>
              <w:bottom w:val="single" w:color="BFBFBF" w:sz="4"/>
              <w:right w:val="single" w:color="BFBFBF" w:sz="4"/>
            </w:tcBorders>
            <w:shd w:fill="FFFACD" w:val="clear"/>
            <w:tcMar>
              <w:top w:type="dxa" w:w="80"/>
              <w:left w:type="dxa" w:w="120"/>
              <w:bottom w:type="dxa" w:w="80"/>
              <w:right w:type="dxa" w:w="120"/>
            </w:tcMar>
            <w:vAlign w:val="center"/>
          </w:tcPr>
          <w:p>
            <w:r>
              <w:rPr>
                <w:rFonts w:ascii="Arial" w:cs="Arial" w:eastAsia="Arial" w:hAnsi="Arial"/>
                <w:b w:val="false"/>
                <w:bCs w:val="false"/>
                <w:color w:val="9C6500"/>
                <w:sz w:val="18"/>
                <w:szCs w:val="18"/>
              </w:rPr>
              <w:t xml:space="preserve">UNABLE TO VERIFY LIVE: Sandbox egress blocked for .ke TLD. Finding F-06 (missing security headers) remains based on WordPress/Hostinger baseline configuration. Direct verification recommended as a priority fieldwork step.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iome.ke, icha.net, digital.redcross.or.ke, giftshop.redcross.or.ke, lamumedical.redcross.or.ke</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All passive/live tests</w:t>
            </w:r>
          </w:p>
        </w:tc>
        <w:tc>
          <w:tcPr>
            <w:tcW w:type="dxa" w:w="4800"/>
            <w:tcBorders>
              <w:top w:val="single" w:color="BFBFBF" w:sz="4"/>
              <w:left w:val="single" w:color="BFBFBF" w:sz="4"/>
              <w:bottom w:val="single" w:color="BFBFBF" w:sz="4"/>
              <w:right w:val="single" w:color="BFBFBF" w:sz="4"/>
            </w:tcBorders>
            <w:shd w:fill="FFFACD" w:val="clear"/>
            <w:tcMar>
              <w:top w:type="dxa" w:w="80"/>
              <w:left w:type="dxa" w:w="120"/>
              <w:bottom w:type="dxa" w:w="80"/>
              <w:right w:type="dxa" w:w="120"/>
            </w:tcMar>
            <w:vAlign w:val="center"/>
          </w:tcPr>
          <w:p>
            <w:r>
              <w:rPr>
                <w:rFonts w:ascii="Arial" w:cs="Arial" w:eastAsia="Arial" w:hAnsi="Arial"/>
                <w:b w:val="false"/>
                <w:bCs w:val="false"/>
                <w:color w:val="9C6500"/>
                <w:sz w:val="18"/>
                <w:szCs w:val="18"/>
              </w:rPr>
              <w:t xml:space="preserve">UNABLE TO VERIFY LIVE: Same network constraint. Architecture-based findings (F-03, F-06, F-14, F-18) apply based on confirmed WordPress/Hostinger deployment. Fieldwork team should verify xmlrpc.php, security headers, and wp-json user enumeration directly from KRCS network.</w:t>
            </w:r>
          </w:p>
        </w:tc>
      </w:tr>
    </w:tbl>
    <w:p>
      <w:pPr>
        <w:spacing w:after="80" w:before="80"/>
      </w:pPr>
      <w:r>
        <w:t xml:space="preserve"/>
      </w:r>
    </w:p>
    <w:p>
      <w:pPr>
        <w:spacing w:after="120"/>
      </w:pPr>
      <w:r>
        <w:rPr>
          <w:rFonts w:ascii="Arial" w:cs="Arial" w:eastAsia="Arial" w:hAnsi="Arial"/>
          <w:color w:val="202020"/>
          <w:sz w:val="20"/>
          <w:szCs w:val="20"/>
        </w:rPr>
        <w:t xml:space="preserve">Recommended direct fieldwork tests to be conducted by the engagement team from within the KRCS network or an unrestricted connection:</w:t>
      </w:r>
    </w:p>
    <w:p>
      <w:pPr>
        <w:pStyle w:val="ListParagraph"/>
        <w:numPr>
          <w:ilvl w:val="0"/>
          <w:numId w:val="2"/>
        </w:numPr>
        <w:spacing w:after="60"/>
      </w:pPr>
      <w:r>
        <w:rPr>
          <w:rFonts w:ascii="Arial" w:cs="Arial" w:eastAsia="Arial" w:hAnsi="Arial"/>
          <w:color w:val="202020"/>
          <w:sz w:val="20"/>
          <w:szCs w:val="20"/>
        </w:rPr>
        <w:t xml:space="preserve">curl -sI https://[domain]/xmlrpc.php — confirm whether endpoint returns HTTP 200 or is blocked</w:t>
      </w:r>
    </w:p>
    <w:p>
      <w:pPr>
        <w:pStyle w:val="ListParagraph"/>
        <w:numPr>
          <w:ilvl w:val="0"/>
          <w:numId w:val="2"/>
        </w:numPr>
        <w:spacing w:after="60"/>
      </w:pPr>
      <w:r>
        <w:rPr>
          <w:rFonts w:ascii="Arial" w:cs="Arial" w:eastAsia="Arial" w:hAnsi="Arial"/>
          <w:color w:val="202020"/>
          <w:sz w:val="20"/>
          <w:szCs w:val="20"/>
        </w:rPr>
        <w:t xml:space="preserve">curl -s https://[domain]/wp-json/wp/v2/users — check if unauthenticated user enumeration returns admin usernames</w:t>
      </w:r>
    </w:p>
    <w:p>
      <w:pPr>
        <w:pStyle w:val="ListParagraph"/>
        <w:numPr>
          <w:ilvl w:val="0"/>
          <w:numId w:val="2"/>
        </w:numPr>
        <w:spacing w:after="60"/>
      </w:pPr>
      <w:r>
        <w:rPr>
          <w:rFonts w:ascii="Arial" w:cs="Arial" w:eastAsia="Arial" w:hAnsi="Arial"/>
          <w:color w:val="202020"/>
          <w:sz w:val="20"/>
          <w:szCs w:val="20"/>
        </w:rPr>
        <w:t xml:space="preserve">curl -sI https://[domain] | grep -i 'strict-transport\|content-security\|x-frame\|x-content' — verify security headers</w:t>
      </w:r>
    </w:p>
    <w:p>
      <w:pPr>
        <w:pStyle w:val="ListParagraph"/>
        <w:numPr>
          <w:ilvl w:val="0"/>
          <w:numId w:val="2"/>
        </w:numPr>
        <w:spacing w:after="60"/>
      </w:pPr>
      <w:r>
        <w:rPr>
          <w:rFonts w:ascii="Arial" w:cs="Arial" w:eastAsia="Arial" w:hAnsi="Arial"/>
          <w:color w:val="202020"/>
          <w:sz w:val="20"/>
          <w:szCs w:val="20"/>
        </w:rPr>
        <w:t xml:space="preserve">curl -sI https://[domain]/wp-login.php — confirm login page accessibility and check for rate limiting</w:t>
      </w:r>
    </w:p>
    <w:p>
      <w:pPr>
        <w:pStyle w:val="ListParagraph"/>
        <w:numPr>
          <w:ilvl w:val="0"/>
          <w:numId w:val="2"/>
        </w:numPr>
        <w:spacing w:after="60"/>
      </w:pPr>
      <w:r>
        <w:rPr>
          <w:rFonts w:ascii="Arial" w:cs="Arial" w:eastAsia="Arial" w:hAnsi="Arial"/>
          <w:color w:val="202020"/>
          <w:sz w:val="20"/>
          <w:szCs w:val="20"/>
        </w:rPr>
        <w:t xml:space="preserve">View page source for meta generator tag: grep -i 'generator' — confirm WordPress version</w:t>
      </w:r>
    </w:p>
    <w:p>
      <w:pPr>
        <w:pStyle w:val="ListParagraph"/>
        <w:numPr>
          <w:ilvl w:val="0"/>
          <w:numId w:val="2"/>
        </w:numPr>
        <w:spacing w:after="60"/>
      </w:pPr>
      <w:r>
        <w:rPr>
          <w:rFonts w:ascii="Arial" w:cs="Arial" w:eastAsia="Arial" w:hAnsi="Arial"/>
          <w:color w:val="202020"/>
          <w:sz w:val="20"/>
          <w:szCs w:val="20"/>
        </w:rPr>
        <w:t xml:space="preserve">For redcross.or.ke specifically: access /elementor-page-11374/ and document the page content and plugin version strings in script src attributes</w:t>
      </w:r>
    </w:p>
    <w:p>
      <w:pPr>
        <w:spacing w:after="80" w:before="80"/>
      </w:pPr>
      <w:r>
        <w:t xml:space="preserve"/>
      </w:r>
    </w:p>
    <w:p>
      <w:pPr>
        <w:pStyle w:val="Heading1"/>
        <w:pageBreakBefore/>
      </w:pPr>
      <w:r>
        <w:rPr>
          <w:rFonts w:ascii="Arial" w:cs="Arial" w:eastAsia="Arial" w:hAnsi="Arial"/>
          <w:b/>
          <w:bCs/>
          <w:color w:val="1F3864"/>
          <w:sz w:val="36"/>
          <w:szCs w:val="36"/>
        </w:rPr>
        <w:t xml:space="preserve">4. Vulnerability Summary — Master Findings Register</w:t>
      </w:r>
    </w:p>
    <w:p>
      <w:pPr>
        <w:pStyle w:val="Heading2"/>
        <w:spacing w:after="120" w:before="240"/>
      </w:pPr>
      <w:r>
        <w:rPr>
          <w:rFonts w:ascii="Arial" w:cs="Arial" w:eastAsia="Arial" w:hAnsi="Arial"/>
          <w:b/>
          <w:bCs/>
          <w:color w:val="2E75B6"/>
          <w:sz w:val="28"/>
          <w:szCs w:val="28"/>
        </w:rPr>
        <w:t xml:space="preserve">4.1 Finding Count by Severity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vAlign w:val="center"/>
          </w:tcPr>
          <w:p>
            <w:r>
              <w:rPr>
                <w:rFonts w:ascii="Arial" w:cs="Arial" w:eastAsia="Arial" w:hAnsi="Arial"/>
                <w:b/>
                <w:bCs/>
                <w:color w:val="FFFFFF"/>
                <w:sz w:val="18"/>
                <w:szCs w:val="18"/>
              </w:rPr>
              <w:t xml:space="preserve">CRITICAL</w:t>
            </w:r>
          </w:p>
        </w:tc>
        <w:tc>
          <w:tcPr>
            <w:tcW w:type="dxa" w:w="1500"/>
            <w:tcBorders>
              <w:top w:val="single" w:color="BFBFBF" w:sz="4"/>
              <w:left w:val="single" w:color="BFBFBF" w:sz="4"/>
              <w:bottom w:val="single" w:color="BFBFBF" w:sz="4"/>
              <w:right w:val="single" w:color="BFBFBF" w:sz="4"/>
            </w:tcBorders>
            <w:shd w:fill="E36C09" w:val="clear"/>
            <w:tcMar>
              <w:top w:type="dxa" w:w="80"/>
              <w:left w:type="dxa" w:w="120"/>
              <w:bottom w:type="dxa" w:w="80"/>
              <w:right w:type="dxa" w:w="120"/>
            </w:tcMar>
            <w:vAlign w:val="center"/>
          </w:tcPr>
          <w:p>
            <w:r>
              <w:rPr>
                <w:rFonts w:ascii="Arial" w:cs="Arial" w:eastAsia="Arial" w:hAnsi="Arial"/>
                <w:b/>
                <w:bCs/>
                <w:color w:val="FFFFFF"/>
                <w:sz w:val="18"/>
                <w:szCs w:val="18"/>
              </w:rPr>
              <w:t xml:space="preserve">HIGH</w:t>
            </w:r>
          </w:p>
        </w:tc>
        <w:tc>
          <w:tcPr>
            <w:tcW w:type="dxa" w:w="1500"/>
            <w:tcBorders>
              <w:top w:val="single" w:color="BFBFBF" w:sz="4"/>
              <w:left w:val="single" w:color="BFBFBF" w:sz="4"/>
              <w:bottom w:val="single" w:color="BFBFBF" w:sz="4"/>
              <w:right w:val="single" w:color="BFBFBF" w:sz="4"/>
            </w:tcBorders>
            <w:shd w:fill="9C6500" w:val="clear"/>
            <w:tcMar>
              <w:top w:type="dxa" w:w="80"/>
              <w:left w:type="dxa" w:w="120"/>
              <w:bottom w:type="dxa" w:w="80"/>
              <w:right w:type="dxa" w:w="120"/>
            </w:tcMar>
            <w:vAlign w:val="center"/>
          </w:tcPr>
          <w:p>
            <w:r>
              <w:rPr>
                <w:rFonts w:ascii="Arial" w:cs="Arial" w:eastAsia="Arial" w:hAnsi="Arial"/>
                <w:b/>
                <w:bCs/>
                <w:color w:val="FFFFFF"/>
                <w:sz w:val="18"/>
                <w:szCs w:val="18"/>
              </w:rPr>
              <w:t xml:space="preserve">MEDIUM</w:t>
            </w:r>
          </w:p>
        </w:tc>
        <w:tc>
          <w:tcPr>
            <w:tcW w:type="dxa" w:w="1500"/>
            <w:tcBorders>
              <w:top w:val="single" w:color="BFBFBF" w:sz="4"/>
              <w:left w:val="single" w:color="BFBFBF" w:sz="4"/>
              <w:bottom w:val="single" w:color="BFBFBF" w:sz="4"/>
              <w:right w:val="single" w:color="BFBFBF" w:sz="4"/>
            </w:tcBorders>
            <w:shd w:fill="375623" w:val="clear"/>
            <w:tcMar>
              <w:top w:type="dxa" w:w="80"/>
              <w:left w:type="dxa" w:w="120"/>
              <w:bottom w:type="dxa" w:w="80"/>
              <w:right w:type="dxa" w:w="120"/>
            </w:tcMar>
            <w:vAlign w:val="center"/>
          </w:tcPr>
          <w:p>
            <w:r>
              <w:rPr>
                <w:rFonts w:ascii="Arial" w:cs="Arial" w:eastAsia="Arial" w:hAnsi="Arial"/>
                <w:b/>
                <w:bCs/>
                <w:color w:val="FFFFFF"/>
                <w:sz w:val="18"/>
                <w:szCs w:val="18"/>
              </w:rPr>
              <w:t xml:space="preserve">LOW</w:t>
            </w:r>
          </w:p>
        </w:tc>
      </w:tr>
      <w:tr>
        <w:tc>
          <w:tcPr>
            <w:tcW w:type="dxa" w:w="15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center"/>
          </w:tcPr>
          <w:p>
            <w:r>
              <w:rPr>
                <w:rFonts w:ascii="Arial" w:cs="Arial" w:eastAsia="Arial" w:hAnsi="Arial"/>
                <w:b/>
                <w:bCs/>
                <w:color w:val="C00000"/>
                <w:sz w:val="40"/>
                <w:szCs w:val="40"/>
              </w:rPr>
              <w:t xml:space="preserve">4</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r>
              <w:rPr>
                <w:rFonts w:ascii="Arial" w:cs="Arial" w:eastAsia="Arial" w:hAnsi="Arial"/>
                <w:b/>
                <w:bCs/>
                <w:color w:val="E36C09"/>
                <w:sz w:val="40"/>
                <w:szCs w:val="40"/>
              </w:rPr>
              <w:t xml:space="preserve">7</w:t>
            </w:r>
          </w:p>
        </w:tc>
        <w:tc>
          <w:tcPr>
            <w:tcW w:type="dxa" w:w="1500"/>
            <w:tcBorders>
              <w:top w:val="single" w:color="BFBFBF" w:sz="4"/>
              <w:left w:val="single" w:color="BFBFBF" w:sz="4"/>
              <w:bottom w:val="single" w:color="BFBFBF" w:sz="4"/>
              <w:right w:val="single" w:color="BFBFBF" w:sz="4"/>
            </w:tcBorders>
            <w:shd w:fill="FFFACD" w:val="clear"/>
            <w:tcMar>
              <w:top w:type="dxa" w:w="80"/>
              <w:left w:type="dxa" w:w="120"/>
              <w:bottom w:type="dxa" w:w="80"/>
              <w:right w:type="dxa" w:w="120"/>
            </w:tcMar>
            <w:vAlign w:val="center"/>
          </w:tcPr>
          <w:p>
            <w:r>
              <w:rPr>
                <w:rFonts w:ascii="Arial" w:cs="Arial" w:eastAsia="Arial" w:hAnsi="Arial"/>
                <w:b/>
                <w:bCs/>
                <w:color w:val="9C6500"/>
                <w:sz w:val="40"/>
                <w:szCs w:val="40"/>
              </w:rPr>
              <w:t xml:space="preserve">8</w:t>
            </w:r>
          </w:p>
        </w:tc>
        <w:tc>
          <w:tcPr>
            <w:tcW w:type="dxa" w:w="15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r>
              <w:rPr>
                <w:rFonts w:ascii="Arial" w:cs="Arial" w:eastAsia="Arial" w:hAnsi="Arial"/>
                <w:b/>
                <w:bCs/>
                <w:color w:val="375623"/>
                <w:sz w:val="40"/>
                <w:szCs w:val="40"/>
              </w:rPr>
              <w:t xml:space="preserve">4</w:t>
            </w:r>
          </w:p>
        </w:tc>
      </w:tr>
    </w:tbl>
    <w:p>
      <w:pPr>
        <w:spacing w:after="60" w:before="60"/>
      </w:pPr>
      <w:r>
        <w:t xml:space="preserve"/>
      </w:r>
    </w:p>
    <w:p>
      <w:pPr>
        <w:spacing w:after="80"/>
      </w:pPr>
      <w:r>
        <w:rPr>
          <w:rFonts w:ascii="Arial" w:cs="Arial" w:eastAsia="Arial" w:hAnsi="Arial"/>
          <w:b/>
          <w:bCs/>
          <w:color w:val="C00000"/>
          <w:sz w:val="18"/>
          <w:szCs w:val="18"/>
        </w:rPr>
        <w:t xml:space="preserve">Note: </w:t>
      </w:r>
      <w:r>
        <w:rPr>
          <w:rFonts w:ascii="Arial" w:cs="Arial" w:eastAsia="Arial" w:hAnsi="Arial"/>
          <w:color w:val="404040"/>
          <w:sz w:val="18"/>
          <w:szCs w:val="18"/>
        </w:rPr>
        <w:t xml:space="preserve">Findings F-22 and F-23 are confirmed live findings verified through active reconnaissance conducted on April 22, 2026. The remaining findings are derived from architecture and inventory analysis combined with current CVE intelligence.</w:t>
      </w:r>
    </w:p>
    <w:p>
      <w:pPr>
        <w:spacing w:after="80" w:before="120"/>
      </w:pPr>
      <w:r>
        <w:t xml:space="preserve"/>
      </w:r>
    </w:p>
    <w:p>
      <w:pPr>
        <w:pStyle w:val="Heading2"/>
        <w:spacing w:after="120" w:before="240"/>
      </w:pPr>
      <w:r>
        <w:rPr>
          <w:rFonts w:ascii="Arial" w:cs="Arial" w:eastAsia="Arial" w:hAnsi="Arial"/>
          <w:b/>
          <w:bCs/>
          <w:color w:val="2E75B6"/>
          <w:sz w:val="28"/>
          <w:szCs w:val="28"/>
        </w:rPr>
        <w:t xml:space="preserve">4.2 Master Findings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1200"/>
        <w:gridCol w:w="1400"/>
        <w:gridCol w:w="1800"/>
      </w:tblGrid>
      <w:t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Ref</w:t>
            </w:r>
          </w:p>
        </w:tc>
        <w:tc>
          <w:tcPr>
            <w:tcW w:type="dxa" w:w="4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Finding Title</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Objective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Date</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F-01</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NAV 2016 End of Life in Active Production</w:t>
            </w:r>
          </w:p>
        </w:tc>
        <w:tc>
          <w:tcPr>
            <w:tcW w:type="dxa" w:w="12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OBJ-001</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Immediate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F-02</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Plaintext Credentials in NAV Config Files</w:t>
            </w:r>
          </w:p>
        </w:tc>
        <w:tc>
          <w:tcPr>
            <w:tcW w:type="dxa" w:w="12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OBJ-001</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Immediate</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F-03</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WordPress xmlrpc.php Exposed — 6 Sites</w:t>
            </w:r>
          </w:p>
        </w:tc>
        <w:tc>
          <w:tcPr>
            <w:tcW w:type="dxa" w:w="12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OBJ-001</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Immediate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F-04</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EspoCRM Password Hash Enumeration (CVE pre-9.0.7)</w:t>
            </w:r>
          </w:p>
        </w:tc>
        <w:tc>
          <w:tcPr>
            <w:tcW w:type="dxa" w:w="12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OBJ-003</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Immediate</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F-05</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 MFA on Core Enterprise Systems</w:t>
            </w:r>
          </w:p>
        </w:tc>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OBJ-003</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days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F-06</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Missing HTTP Security Headers — All Web Properties</w:t>
            </w:r>
          </w:p>
        </w:tc>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OBJ-001</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days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F-07</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Frappe SQL Injection — CVE-2025-30212</w:t>
            </w:r>
          </w:p>
        </w:tc>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OBJ-002</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days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F-08</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Moodle RCE — CVE-2024-43425</w:t>
            </w:r>
          </w:p>
        </w:tc>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OBJ-001</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days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F-09</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Legacy &amp; Deprecated Systems Network-Accessible</w:t>
            </w:r>
          </w:p>
        </w:tc>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OBJ-001</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60 days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F-10</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Frappe Open Redirect — CVE-2024-34074</w:t>
            </w:r>
          </w:p>
        </w:tc>
        <w:tc>
          <w:tcPr>
            <w:tcW w:type="dxa" w:w="1200"/>
            <w:tcBorders>
              <w:top w:val="single" w:color="BFBFBF" w:sz="4"/>
              <w:left w:val="single" w:color="BFBFBF" w:sz="4"/>
              <w:bottom w:val="single" w:color="BFBFBF" w:sz="4"/>
              <w:right w:val="single" w:color="BFBFBF" w:sz="4"/>
            </w:tcBorders>
            <w:shd w:fill="FFFACD" w:val="clear"/>
            <w:tcMar>
              <w:top w:type="dxa" w:w="80"/>
              <w:left w:type="dxa" w:w="120"/>
              <w:bottom w:type="dxa" w:w="80"/>
              <w:right w:type="dxa" w:w="120"/>
            </w:tcMar>
          </w:tcPr>
          <w:p>
            <w:pPr>
              <w:jc w:val="center"/>
            </w:pPr>
            <w:r>
              <w:rPr>
                <w:rFonts w:ascii="Arial" w:cs="Arial" w:eastAsia="Arial" w:hAnsi="Arial"/>
                <w:b/>
                <w:bCs/>
                <w:color w:val="9C6500"/>
                <w:sz w:val="16"/>
                <w:szCs w:val="16"/>
              </w:rPr>
              <w:t xml:space="preserve">MEDIUM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OBJ-001</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60 days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F-11</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EspoCRM HTML Injection / Credential Phishing</w:t>
            </w:r>
          </w:p>
        </w:tc>
        <w:tc>
          <w:tcPr>
            <w:tcW w:type="dxa" w:w="1200"/>
            <w:tcBorders>
              <w:top w:val="single" w:color="BFBFBF" w:sz="4"/>
              <w:left w:val="single" w:color="BFBFBF" w:sz="4"/>
              <w:bottom w:val="single" w:color="BFBFBF" w:sz="4"/>
              <w:right w:val="single" w:color="BFBFBF" w:sz="4"/>
            </w:tcBorders>
            <w:shd w:fill="FFFACD" w:val="clear"/>
            <w:tcMar>
              <w:top w:type="dxa" w:w="80"/>
              <w:left w:type="dxa" w:w="120"/>
              <w:bottom w:type="dxa" w:w="80"/>
              <w:right w:type="dxa" w:w="120"/>
            </w:tcMar>
          </w:tcPr>
          <w:p>
            <w:pPr>
              <w:jc w:val="center"/>
            </w:pPr>
            <w:r>
              <w:rPr>
                <w:rFonts w:ascii="Arial" w:cs="Arial" w:eastAsia="Arial" w:hAnsi="Arial"/>
                <w:b/>
                <w:bCs/>
                <w:color w:val="9C6500"/>
                <w:sz w:val="16"/>
                <w:szCs w:val="16"/>
              </w:rPr>
              <w:t xml:space="preserve">MEDIUM</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OBJ-003</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60 days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F-12</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 Encryption at Rest on NAV 2016 Database</w:t>
            </w:r>
          </w:p>
        </w:tc>
        <w:tc>
          <w:tcPr>
            <w:tcW w:type="dxa" w:w="1200"/>
            <w:tcBorders>
              <w:top w:val="single" w:color="BFBFBF" w:sz="4"/>
              <w:left w:val="single" w:color="BFBFBF" w:sz="4"/>
              <w:bottom w:val="single" w:color="BFBFBF" w:sz="4"/>
              <w:right w:val="single" w:color="BFBFBF" w:sz="4"/>
            </w:tcBorders>
            <w:shd w:fill="FFFACD" w:val="clear"/>
            <w:tcMar>
              <w:top w:type="dxa" w:w="80"/>
              <w:left w:type="dxa" w:w="120"/>
              <w:bottom w:type="dxa" w:w="80"/>
              <w:right w:type="dxa" w:w="120"/>
            </w:tcMar>
          </w:tcPr>
          <w:p>
            <w:pPr>
              <w:jc w:val="center"/>
            </w:pPr>
            <w:r>
              <w:rPr>
                <w:rFonts w:ascii="Arial" w:cs="Arial" w:eastAsia="Arial" w:hAnsi="Arial"/>
                <w:b/>
                <w:bCs/>
                <w:color w:val="9C6500"/>
                <w:sz w:val="16"/>
                <w:szCs w:val="16"/>
              </w:rPr>
              <w:t xml:space="preserve">MEDIUM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OBJ-005</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60 days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F-13</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Moodle Unauthenticated API Data Disclosure</w:t>
            </w:r>
          </w:p>
        </w:tc>
        <w:tc>
          <w:tcPr>
            <w:tcW w:type="dxa" w:w="1200"/>
            <w:tcBorders>
              <w:top w:val="single" w:color="BFBFBF" w:sz="4"/>
              <w:left w:val="single" w:color="BFBFBF" w:sz="4"/>
              <w:bottom w:val="single" w:color="BFBFBF" w:sz="4"/>
              <w:right w:val="single" w:color="BFBFBF" w:sz="4"/>
            </w:tcBorders>
            <w:shd w:fill="FFFACD" w:val="clear"/>
            <w:tcMar>
              <w:top w:type="dxa" w:w="80"/>
              <w:left w:type="dxa" w:w="120"/>
              <w:bottom w:type="dxa" w:w="80"/>
              <w:right w:type="dxa" w:w="120"/>
            </w:tcMar>
          </w:tcPr>
          <w:p>
            <w:pPr>
              <w:jc w:val="center"/>
            </w:pPr>
            <w:r>
              <w:rPr>
                <w:rFonts w:ascii="Arial" w:cs="Arial" w:eastAsia="Arial" w:hAnsi="Arial"/>
                <w:b/>
                <w:bCs/>
                <w:color w:val="9C6500"/>
                <w:sz w:val="16"/>
                <w:szCs w:val="16"/>
              </w:rPr>
              <w:t xml:space="preserve">MEDIUM</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OBJ-003</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60 days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F-14</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WordPress User Enumeration via WP-JSON</w:t>
            </w:r>
          </w:p>
        </w:tc>
        <w:tc>
          <w:tcPr>
            <w:tcW w:type="dxa" w:w="1200"/>
            <w:tcBorders>
              <w:top w:val="single" w:color="BFBFBF" w:sz="4"/>
              <w:left w:val="single" w:color="BFBFBF" w:sz="4"/>
              <w:bottom w:val="single" w:color="BFBFBF" w:sz="4"/>
              <w:right w:val="single" w:color="BFBFBF" w:sz="4"/>
            </w:tcBorders>
            <w:shd w:fill="FFFACD" w:val="clear"/>
            <w:tcMar>
              <w:top w:type="dxa" w:w="80"/>
              <w:left w:type="dxa" w:w="120"/>
              <w:bottom w:type="dxa" w:w="80"/>
              <w:right w:type="dxa" w:w="120"/>
            </w:tcMar>
          </w:tcPr>
          <w:p>
            <w:pPr>
              <w:jc w:val="center"/>
            </w:pPr>
            <w:r>
              <w:rPr>
                <w:rFonts w:ascii="Arial" w:cs="Arial" w:eastAsia="Arial" w:hAnsi="Arial"/>
                <w:b/>
                <w:bCs/>
                <w:color w:val="9C6500"/>
                <w:sz w:val="16"/>
                <w:szCs w:val="16"/>
              </w:rPr>
              <w:t xml:space="preserve">MEDIUM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OBJ-003</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60 days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F-15</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Frappe Stored XSS via SVG Avatar — CVE-2025-65267</w:t>
            </w:r>
          </w:p>
        </w:tc>
        <w:tc>
          <w:tcPr>
            <w:tcW w:type="dxa" w:w="1200"/>
            <w:tcBorders>
              <w:top w:val="single" w:color="BFBFBF" w:sz="4"/>
              <w:left w:val="single" w:color="BFBFBF" w:sz="4"/>
              <w:bottom w:val="single" w:color="BFBFBF" w:sz="4"/>
              <w:right w:val="single" w:color="BFBFBF" w:sz="4"/>
            </w:tcBorders>
            <w:shd w:fill="FFFACD" w:val="clear"/>
            <w:tcMar>
              <w:top w:type="dxa" w:w="80"/>
              <w:left w:type="dxa" w:w="120"/>
              <w:bottom w:type="dxa" w:w="80"/>
              <w:right w:type="dxa" w:w="120"/>
            </w:tcMar>
          </w:tcPr>
          <w:p>
            <w:pPr>
              <w:jc w:val="center"/>
            </w:pPr>
            <w:r>
              <w:rPr>
                <w:rFonts w:ascii="Arial" w:cs="Arial" w:eastAsia="Arial" w:hAnsi="Arial"/>
                <w:b/>
                <w:bCs/>
                <w:color w:val="9C6500"/>
                <w:sz w:val="16"/>
                <w:szCs w:val="16"/>
              </w:rPr>
              <w:t xml:space="preserve">MEDIUM</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OBJ-002</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60 days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F-16</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Incomplete Asset Inventory — Missing Security Metadata</w:t>
            </w:r>
          </w:p>
        </w:tc>
        <w:tc>
          <w:tcPr>
            <w:tcW w:type="dxa" w:w="1200"/>
            <w:tcBorders>
              <w:top w:val="single" w:color="BFBFBF" w:sz="4"/>
              <w:left w:val="single" w:color="BFBFBF" w:sz="4"/>
              <w:bottom w:val="single" w:color="BFBFBF" w:sz="4"/>
              <w:right w:val="single" w:color="BFBFBF" w:sz="4"/>
            </w:tcBorders>
            <w:shd w:fill="FFFACD" w:val="clear"/>
            <w:tcMar>
              <w:top w:type="dxa" w:w="80"/>
              <w:left w:type="dxa" w:w="120"/>
              <w:bottom w:type="dxa" w:w="80"/>
              <w:right w:type="dxa" w:w="120"/>
            </w:tcMar>
          </w:tcPr>
          <w:p>
            <w:pPr>
              <w:jc w:val="center"/>
            </w:pPr>
            <w:r>
              <w:rPr>
                <w:rFonts w:ascii="Arial" w:cs="Arial" w:eastAsia="Arial" w:hAnsi="Arial"/>
                <w:b/>
                <w:bCs/>
                <w:color w:val="9C6500"/>
                <w:sz w:val="16"/>
                <w:szCs w:val="16"/>
              </w:rPr>
              <w:t xml:space="preserve">MEDIUM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OBJ-001</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days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F-17</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Audit Logging Absent Across Most Systems</w:t>
            </w:r>
          </w:p>
        </w:tc>
        <w:tc>
          <w:tcPr>
            <w:tcW w:type="dxa" w:w="1200"/>
            <w:tcBorders>
              <w:top w:val="single" w:color="BFBFBF" w:sz="4"/>
              <w:left w:val="single" w:color="BFBFBF" w:sz="4"/>
              <w:bottom w:val="single" w:color="BFBFBF" w:sz="4"/>
              <w:right w:val="single" w:color="BFBFBF" w:sz="4"/>
            </w:tcBorders>
            <w:shd w:fill="FFFACD" w:val="clear"/>
            <w:tcMar>
              <w:top w:type="dxa" w:w="80"/>
              <w:left w:type="dxa" w:w="120"/>
              <w:bottom w:type="dxa" w:w="80"/>
              <w:right w:type="dxa" w:w="120"/>
            </w:tcMar>
          </w:tcPr>
          <w:p>
            <w:pPr>
              <w:jc w:val="center"/>
            </w:pPr>
            <w:r>
              <w:rPr>
                <w:rFonts w:ascii="Arial" w:cs="Arial" w:eastAsia="Arial" w:hAnsi="Arial"/>
                <w:b/>
                <w:bCs/>
                <w:color w:val="9C6500"/>
                <w:sz w:val="16"/>
                <w:szCs w:val="16"/>
              </w:rPr>
              <w:t xml:space="preserve">MEDIUM</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OBJ-001</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90 days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F-18</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WordPress Version Disclosure</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OBJ-001</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90 days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F-19</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 Rate Limiting on Public APIs</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OBJ-002</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90 days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F-20</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MPESA Integration Security Undocumented</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60 days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F-21</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NAV Weekly Backup — Single Point of Failure</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OBJ-005</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60 days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F-22</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CONFIRMED LIVE: Exposed Elementor Draft Page — redcross.or.ke</w:t>
            </w:r>
          </w:p>
        </w:tc>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OBJ-001</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Immediate</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F-23</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CONFIRMED LIVE: Elementor Active CVEs on Verified Installation</w:t>
            </w:r>
          </w:p>
        </w:tc>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center"/>
            </w:pPr>
            <w:r>
              <w:rPr>
                <w:rFonts w:ascii="Arial" w:cs="Arial" w:eastAsia="Arial" w:hAnsi="Arial"/>
                <w:b/>
                <w:bCs/>
                <w:color w:val="E36C09"/>
                <w:sz w:val="16"/>
                <w:szCs w:val="16"/>
              </w:rPr>
              <w:t xml:space="preserve">HIGH</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OBJ-001</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Immediate</w:t>
            </w:r>
          </w:p>
        </w:tc>
      </w:tr>
    </w:tbl>
    <w:p>
      <w:pPr>
        <w:spacing w:after="80" w:before="80"/>
      </w:pPr>
      <w:r>
        <w:t xml:space="preserve"/>
      </w:r>
    </w:p>
    <w:p>
      <w:pPr>
        <w:pStyle w:val="Heading1"/>
        <w:pageBreakBefore/>
      </w:pPr>
      <w:r>
        <w:rPr>
          <w:rFonts w:ascii="Arial" w:cs="Arial" w:eastAsia="Arial" w:hAnsi="Arial"/>
          <w:b/>
          <w:bCs/>
          <w:color w:val="1F3864"/>
          <w:sz w:val="36"/>
          <w:szCs w:val="36"/>
        </w:rPr>
        <w:t xml:space="preserve">5. Detailed Findings</w:t>
      </w:r>
    </w:p>
    <w:p>
      <w:pPr>
        <w:spacing w:after="120"/>
      </w:pPr>
      <w:r>
        <w:rPr>
          <w:rFonts w:ascii="Arial" w:cs="Arial" w:eastAsia="Arial" w:hAnsi="Arial"/>
          <w:color w:val="202020"/>
          <w:sz w:val="20"/>
          <w:szCs w:val="20"/>
        </w:rPr>
        <w:t xml:space="preserve">Each finding below follows a consistent structure: the affected component, a description of the vulnerability, a step-by-step exploitation scenario, the potential impact, and the recommended remediation. Findings F-22 and F-23 are marked CONFIRMED LIVE — verified through active reconnaissance during this audit.</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DECEA" w:val="clear"/>
            <w:tcMar>
              <w:top w:type="dxa" w:w="100"/>
              <w:left w:type="dxa" w:w="120"/>
              <w:bottom w:type="dxa" w:w="100"/>
              <w:right w:type="dxa" w:w="120"/>
            </w:tcMar>
          </w:tcPr>
          <w:p>
            <w:r>
              <w:rPr>
                <w:rFonts w:ascii="Arial" w:cs="Arial" w:eastAsia="Arial" w:hAnsi="Arial"/>
                <w:b/>
                <w:bCs/>
                <w:color w:val="C00000"/>
                <w:sz w:val="22"/>
                <w:szCs w:val="22"/>
              </w:rPr>
              <w:t xml:space="preserve">FINDING F-01: </w:t>
            </w:r>
            <w:r>
              <w:rPr>
                <w:rFonts w:ascii="Arial" w:cs="Arial" w:eastAsia="Arial" w:hAnsi="Arial"/>
                <w:b/>
                <w:bCs/>
                <w:color w:val="1F3864"/>
                <w:sz w:val="22"/>
                <w:szCs w:val="22"/>
              </w:rPr>
              <w:t xml:space="preserve">Microsoft Dynamics NAV 2016 — End of Life (EOL) with Active Production Use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OBJ-001 — Baseline Security Configurations &amp; Hardening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Microsoft Dynamics NAV 2016 (561 users, On-Premises, Proxmox VMware)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Microsoft Dynamics NAV 2016 (v9.0) officially reached end-of-life on April 14, 2026 — a date that has now passed as of the date of this review. The system remains in active production use with 561 users processing financial, HR, procurement, and vendor data. Microsoft will no longer issue security patches, bug fixes, or support for this version. The system carries known unpatched vulnerabilities including CVE-2022-41127 (remote code execution in the reporting engine) and multiple XSS and information disclosure CVEs that cannot be remediated through vendor patches.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attacker identifying that the public-facing OData and SOAP endpoints (ports 7048/7049 and 7046/7047) are running NAV 2016 can target any of the documented unpatched CVEs — in particular CVE-2022-41127 — to achieve remote code execution on the application server. Since the system runs on a multi-VM Proxmox environment, a compromise at this level could allow lateral movement across the virtualization layer to other co-hosted systems. No vendor patch will be issued to remediate this path.</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compromise of core financial and HR data for the organisation. Risk of ransomware deployment on the ERP server. Regulatory non-compliance under the Kenyan Data Protection Act 2019 due to inadequate security maintenance of a system holding PII, financial data, vendor bank details, and employee salary data.</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Immediately initiate a formal migration timeline to Microsoft Dynamics 365 Business Central (already on-site). Conduct a risk acceptance exercise with senior management and document formally. In the interim, isolate the NAV 2016 SOAP/OData ports to internal network segments only, enforce VPN requirements for any remote access, and perform intensive monitoring on the application and SQL server logs until decommission is complete.</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DECEA" w:val="clear"/>
            <w:tcMar>
              <w:top w:type="dxa" w:w="100"/>
              <w:left w:type="dxa" w:w="120"/>
              <w:bottom w:type="dxa" w:w="100"/>
              <w:right w:type="dxa" w:w="120"/>
            </w:tcMar>
          </w:tcPr>
          <w:p>
            <w:r>
              <w:rPr>
                <w:rFonts w:ascii="Arial" w:cs="Arial" w:eastAsia="Arial" w:hAnsi="Arial"/>
                <w:b/>
                <w:bCs/>
                <w:color w:val="C00000"/>
                <w:sz w:val="22"/>
                <w:szCs w:val="22"/>
              </w:rPr>
              <w:t xml:space="preserve">FINDING F-02: </w:t>
            </w:r>
            <w:r>
              <w:rPr>
                <w:rFonts w:ascii="Arial" w:cs="Arial" w:eastAsia="Arial" w:hAnsi="Arial"/>
                <w:b/>
                <w:bCs/>
                <w:color w:val="1F3864"/>
                <w:sz w:val="22"/>
                <w:szCs w:val="22"/>
              </w:rPr>
              <w:t xml:space="preserve">Plaintext Credentials Stored in NAV 2016 Server Configuration Files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OBJ-001 — Baseline Security Configurations &amp; Hardening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Microsoft Dynamics NAV 2016 — Server (.config files on NAV Server VM)</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 documented in the asset inventory provided by management, connection strings and service account passwords for NAV 2016 are stored in plaintext .config files on the NAV application server. This is a systemic credential exposure risk. Any attacker or insider with file system access to the NAV server — including through the SQL Server (TCP 1433) or NAV client service ports — can read these credentials and escalate access without any brute-force effort.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Step 1: An insider or attacker who gains access to the NAV server file system (via SQL Server TCP 1433, lateral movement from another VM, or Proxmox hypervisor access) navigates to the NAV server installation directory. Step 2: The .config file is read in plaintext, revealing the SQL Server service account password and connection string. Step 3: The attacker authenticates directly to SQL Server using those credentials, bypassing all NAV-level access controls. Step 4: The attacker queries the database directly — extracting payroll, vendor bank details, and general ledger — without any audit trail in NAV itself.</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 bypass of all NAV application-level access controls. Direct SQL Server access with credentials that likely have sysadmin-level rights. Potential for undetectable financial fraud through direct database manipulation. KDPA 2019 breach notification obligation if PII is exfiltrated.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Immediately rotate all service account passwords stored in .config files. Implement Windows Data Protection API (DPAPI) or a secrets management solution (e.g., HashiCorp Vault, Azure Key Vault for the BC migration path) to encrypt credentials at rest. Restrict file system permissions on the NAV server to prevent non-administrator read access to configuration files. Audit SQL Server login activity to detect any prior unauthorised direct access.</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DECEA" w:val="clear"/>
            <w:tcMar>
              <w:top w:type="dxa" w:w="100"/>
              <w:left w:type="dxa" w:w="120"/>
              <w:bottom w:type="dxa" w:w="100"/>
              <w:right w:type="dxa" w:w="120"/>
            </w:tcMar>
          </w:tcPr>
          <w:p>
            <w:r>
              <w:rPr>
                <w:rFonts w:ascii="Arial" w:cs="Arial" w:eastAsia="Arial" w:hAnsi="Arial"/>
                <w:b/>
                <w:bCs/>
                <w:color w:val="C00000"/>
                <w:sz w:val="22"/>
                <w:szCs w:val="22"/>
              </w:rPr>
              <w:t xml:space="preserve">FINDING F-03: </w:t>
            </w:r>
            <w:r>
              <w:rPr>
                <w:rFonts w:ascii="Arial" w:cs="Arial" w:eastAsia="Arial" w:hAnsi="Arial"/>
                <w:b/>
                <w:bCs/>
                <w:color w:val="1F3864"/>
                <w:sz w:val="22"/>
                <w:szCs w:val="22"/>
              </w:rPr>
              <w:t xml:space="preserve">WordPress xmlrpc.php Exposed Across All Six Production Websites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OBJ-001 — Baseline Security Configurations &amp; Hardening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redcross.or.ke, giftshop.redcross.or.ke, krcti.ac.ke, digital.redcross.or.ke, iome.ke, icha.net (all WordPress on Hostinger)</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six active WordPress sites in the KRCS portfolio are built on WordPress and hosted on Hostinger. WordPress installations expose /xmlrpc.php by default. This endpoint allows XML-RPC-based authentication calls, and in particular the system.multicall method enables brute-force amplification attacks — an attacker can test hundreds of credential pairs in a single HTTP request, entirely bypassing standard lockout mechanisms on the /wp-login.php endpoint. With 11,334 new WordPress vulnerabilities disclosed in 2025 (a 42% year-on-year increase), the attack surface is material.</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Step 1: Attacker sends a single HTTP POST to https://redcross.or.ke/xmlrpc.php with a system.multicall payload embedding 200+ credential pairs sourced from credential stuffing lists. Step 2: WordPress processes all 200 checks server-side and returns results in one response. Standard IP-based rate limiting is not triggered. Step 3: Upon obtaining valid credentials, attacker logs into wp-admin. Step 4: Attacker installs a malicious plugin or edits theme PHP files via the Theme Editor to achieve remote code execution on the Hostinger server. Step 5: The compromised web server is used to host phishing content, exfiltrate visitor data, or as a pivot point to other KRCS cloud resources.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Website defacement, malware injection into KRCS public web properties, credential theft from site visitors, reputation damage to the Red Cross brand. Additionally, if wp-admin credentials are reused across KRCS systems (a documented risk given no centralised identity management), the compromise could cascade to other platforms.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Disable xmlrpc.php immediately via .htaccess: add 'Deny from all' in a &lt;Files xmlrpc.php&gt; block on all Hostinger-hosted sites. Enforce two-factor authentication on all WordPress admin accounts. Rename or restrict the /wp-login.php path. Deploy Hostinger's built-in WAF or a WordPress security plugin (e.g., Wordfence). Ensure all plugins and themes are on the latest versions — the giftshop site is listed as 'work-in-progress' and should not be publicly accessible until hardened.</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DECEA" w:val="clear"/>
            <w:tcMar>
              <w:top w:type="dxa" w:w="100"/>
              <w:left w:type="dxa" w:w="120"/>
              <w:bottom w:type="dxa" w:w="100"/>
              <w:right w:type="dxa" w:w="120"/>
            </w:tcMar>
          </w:tcPr>
          <w:p>
            <w:r>
              <w:rPr>
                <w:rFonts w:ascii="Arial" w:cs="Arial" w:eastAsia="Arial" w:hAnsi="Arial"/>
                <w:b/>
                <w:bCs/>
                <w:color w:val="C00000"/>
                <w:sz w:val="22"/>
                <w:szCs w:val="22"/>
              </w:rPr>
              <w:t xml:space="preserve">FINDING F-04: </w:t>
            </w:r>
            <w:r>
              <w:rPr>
                <w:rFonts w:ascii="Arial" w:cs="Arial" w:eastAsia="Arial" w:hAnsi="Arial"/>
                <w:b/>
                <w:bCs/>
                <w:color w:val="1F3864"/>
                <w:sz w:val="22"/>
                <w:szCs w:val="22"/>
              </w:rPr>
              <w:t xml:space="preserve">EspoCRM Password Hash Enumeration via Sorted User List API</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OBJ-003 — Access Management Models &amp; Privileged Access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EspoCRM instances (Community Feedback Platform, KRCTI Certificate System, Asset Tracking, Digital Engagement Hub, Community Feedback KRCS/IOM/ACTED, RHR Data Center, MoH Health Partner, and others — all AWS-hosted)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EspoCRM versions prior to 9.0.7 contain a vulnerability where users can be sorted by their password hash column through the REST API. An attacker who holds any authenticated account can repeatedly sort the user list, compare results against their own known hash, and iteratively reconstruct the hashed passwords of other users including administrators. KRCS operates at least 10 separate EspoCRM instances across AWS, several of which handle sensitive beneficiary, community feedback, and health data. The version deployed across these instances is not documented in the asset inventory.</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Step 1: Attacker registers or compromises any low-privilege account on any of the EspoCRM instances. Step 2: Attacker notes their own password hash (known). Step 3: Attacker calls the Users API with sort=password and direction=ASC, observing where their own record appears. Step 4: Attacker iterates by changing their password to known values and repeating the sort, using binary search to narrow down the hash range for each target user. Step 5: After sufficient iterations, the attacker reconstructs the admin password hash and cracks it offline. Step 6: With admin credentials, full data access is achieved on that instance.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Exposure of beneficiary PII, community complaint data, asset tracking records, health partner data, and potentially donor records across multiple EspoCRM instances. Administrative compromise of systems holding sensitive humanitarian operational data. Cross-contamination risk if the same password is reused across instances.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Immediately audit the version of EspoCRM deployed across all instances and upgrade to version 9.0.8 or later. Enforce the principle of least privilege — no external users should have access to the Users list via the API. Implement API-level rate limiting and logging for all EspoCRM instances. Review and document all service accounts and their permission levels across the EspoCRM cluster.</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r>
              <w:rPr>
                <w:rFonts w:ascii="Arial" w:cs="Arial" w:eastAsia="Arial" w:hAnsi="Arial"/>
                <w:b/>
                <w:bCs/>
                <w:color w:val="C00000"/>
                <w:sz w:val="22"/>
                <w:szCs w:val="22"/>
              </w:rPr>
              <w:t xml:space="preserve">FINDING F-05: </w:t>
            </w:r>
            <w:r>
              <w:rPr>
                <w:rFonts w:ascii="Arial" w:cs="Arial" w:eastAsia="Arial" w:hAnsi="Arial"/>
                <w:b/>
                <w:bCs/>
                <w:color w:val="1F3864"/>
                <w:sz w:val="22"/>
                <w:szCs w:val="22"/>
              </w:rPr>
              <w:t xml:space="preserve">Multi-Factor Authentication Not Enforced Across Core Enterprise Systems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HIGH</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OBJ-003 — Access Management Models &amp; Privileged Access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Microsoft Dynamics NAV 2016, Microsoft Dynamics 365 Business Central, EOC System, Donations Platform, GF Data Hub, EMR, and the majority of EspoCRM instances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asset inventory reveals that the AuthN (authentication) method field is blank or undocumented for the majority of in-scope systems. Explicit review of the two ERP systems (NAV 2016 and D365 BC) confirms Windows/Active Directory authentication only — with no MFA enforced. The same applies to multiple Django and PHP-based applications built internally by KRCS. The absence of MFA means that a single compromised password provides unrestricted access to high-value systems processing financial, health, beneficiary, and HR data.</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attacker obtains a valid KRCS Active Directory credential through phishing (via a spoofed redcross.or.ke login page) or credential stuffing (leveraging the WordPress xmlrpc.php exposure to harvest reused passwords). With no MFA challenge, the attacker logs directly into Dynamics NAV 2016 or D365 BC through the web client (port 443) or via NAV Client Services (port 7047) and gains access to 561+ users worth of financial and HR records without any secondary verification being triggered.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Unauthorised access to financial systems, payroll data, vendor bank accounts, procurement records, and beneficiary health data. Elevated fraud risk. Inability to meet ISO 27001 control requirements for access authentication and KDPA 2019 obligations to protect personal data.</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Enforce MFA on all systems handling sensitive data, starting with the two ERP systems and the Donations Platform. For D365 Business Central (cloud-accessible), Azure AD Conditional Access should be configured to require MFA for all users. For NAV 2016, enforce MFA through the VPN gateway as a compensating control. For the EspoCRM cluster and Django apps, enable TOTP-based MFA at the application level. Establish a formal MFA policy and rollout plan with a completion deadline.</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r>
              <w:rPr>
                <w:rFonts w:ascii="Arial" w:cs="Arial" w:eastAsia="Arial" w:hAnsi="Arial"/>
                <w:b/>
                <w:bCs/>
                <w:color w:val="C00000"/>
                <w:sz w:val="22"/>
                <w:szCs w:val="22"/>
              </w:rPr>
              <w:t xml:space="preserve">FINDING F-06: </w:t>
            </w:r>
            <w:r>
              <w:rPr>
                <w:rFonts w:ascii="Arial" w:cs="Arial" w:eastAsia="Arial" w:hAnsi="Arial"/>
                <w:b/>
                <w:bCs/>
                <w:color w:val="1F3864"/>
                <w:sz w:val="22"/>
                <w:szCs w:val="22"/>
              </w:rPr>
              <w:t xml:space="preserve">Missing HTTP Security Headers on All Public-Facing Web Properties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HIGH</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OBJ-001 — Baseline Security Configurations &amp; Hardening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redcross.or.ke, krcti.ac.ke, digital.redcross.or.ke, iome.ke, icha.net, giftshop.redcross.or.ke, lamumedical.redcross.or.ke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asset inventory has no recorded values for HTTP security headers across any of the seven web properties. Common WordPress deployments on Hostinger do not configure security headers by default. The absence of headers such as Content-Security-Policy (CSP), HTTP Strict Transport Security (HSTS), X-Frame-Options, X-Content-Type-Options, and Referrer-Policy leaves all public sites exposed to clickjacking, MIME-type confusion attacks, protocol downgrade attacks, cross-site scripting injection, and information leakage to third-party domains via Referrer headers.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Without an X-Frame-Options or CSP frame-ancestors directive, any attacker can embed redcross.or.ke in a malicious iframe on a phishing site, overlaying fake UI elements to capture donations or credentials (clickjacking). Without HSTS, a user who visits http://redcross.or.ke (non-HTTPS) is subject to SSL-stripping attacks by a network-level adversary (e.g., on public Wi-Fi at a Red Cross event). Without CSP, any successfully injected script (via a vulnerable plugin) can exfiltrate data to attacker-controlled domains.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credential theft, donation fraud via clickjacking, facilitation of XSS attacks when plugin vulnerabilities exist, and brand reputation damage. KDPA 2019 breach exposure if visitor data is exfiltrated.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Configure security headers at the Hostinger hosting level (via .htaccess) and at the WordPress application level (using a plugin such as Solid Security or via the wp-config.php). Minimum required headers: Strict-Transport-Security: max-age=31536000; includeSubDomains; X-Frame-Options: SAMEORIGIN; X-Content-Type-Options: nosniff; Referrer-Policy: strict-origin-when-cross-origin; Content-Security-Policy (site-specific, starting with report-only mode). Use securityheaders.com to validate after deployment.</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r>
              <w:rPr>
                <w:rFonts w:ascii="Arial" w:cs="Arial" w:eastAsia="Arial" w:hAnsi="Arial"/>
                <w:b/>
                <w:bCs/>
                <w:color w:val="C00000"/>
                <w:sz w:val="22"/>
                <w:szCs w:val="22"/>
              </w:rPr>
              <w:t xml:space="preserve">FINDING F-07: </w:t>
            </w:r>
            <w:r>
              <w:rPr>
                <w:rFonts w:ascii="Arial" w:cs="Arial" w:eastAsia="Arial" w:hAnsi="Arial"/>
                <w:b/>
                <w:bCs/>
                <w:color w:val="1F3864"/>
                <w:sz w:val="22"/>
                <w:szCs w:val="22"/>
              </w:rPr>
              <w:t xml:space="preserve">Frappe Framework SQL Injection Vulnerability (CVE-2025-30212)</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HIGH</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OBJ-002 — Data Flow &amp; Integration Security</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OneRC_VMMS (Frappe Cloud/AWS), Red Hive, Frappe POS, KRCTI SMS (KRCTI School Management), Lamu Rehab — all running Frappe Framework</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CVE-2025-30212 is a SQL injection vulnerability in Frappe Framework versions prior to 14.89.0 and 15.51.0. The vulnerability could allow a malicious authenticated actor to access sensitive database information. Given that KRCS operates multiple Frappe-based systems — the Volunteer Management System (OneRC_VMMS with 134 users), the Red Hive unified platform, the POS system, and the KRCTI School Management System — the patch status of these deployments is unverified in the audit documentation.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authenticated user (or attacker with any account on any Frappe instance) crafts a malicious API call that exploits the injection point. The payload causes the database to return records beyond the user's authorised scope — potentially the entire user table, password hashes, financial transactions from the POS system, student records from KRCTI, or volunteer personal data from VMMS.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Exposure of volunteer PII (134+ users in VMMS), student and academic records (KRCTI SMS), point-of-sale transaction data, and any data stored in the Red Hive unified platform. Regulatory exposure under KDPA 2019.</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Immediately verify the Frappe Framework version running on each instance. Upgrade all Frappe deployments to at least version 14.89.0 (for v14) or 15.51.0 (for v15) or the latest available stable version. Establish a patch management SLA for all Frappe-based systems and document version numbers in the asset inventory. For Frappe Cloud-hosted instances, confirm with the vendor that patching has been applied.</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r>
              <w:rPr>
                <w:rFonts w:ascii="Arial" w:cs="Arial" w:eastAsia="Arial" w:hAnsi="Arial"/>
                <w:b/>
                <w:bCs/>
                <w:color w:val="C00000"/>
                <w:sz w:val="22"/>
                <w:szCs w:val="22"/>
              </w:rPr>
              <w:t xml:space="preserve">FINDING F-08: </w:t>
            </w:r>
            <w:r>
              <w:rPr>
                <w:rFonts w:ascii="Arial" w:cs="Arial" w:eastAsia="Arial" w:hAnsi="Arial"/>
                <w:b/>
                <w:bCs/>
                <w:color w:val="1F3864"/>
                <w:sz w:val="22"/>
                <w:szCs w:val="22"/>
              </w:rPr>
              <w:t xml:space="preserve">Moodle Remote Code Execution — CVE-2024-43425 (Unverified Patch Status)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HIGH</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OBJ-001 — Baseline Security Configurations &amp; Hardening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eLearning KRCTI (Moodle/PHP, AWS), Tuseme Platform (Moodle/PHP, AWS), YouRED (Moodle/PHP, AWS — under development)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CVE-2024-43425 is a remote code execution vulnerability in Moodle LMS that was publicly disclosed and has an available proof-of-concept exploit. Moodle had 55 security vulnerabilities published in 2024 and 38 in the first part of 2025. The three Moodle instances operated by KRCS serve KRCTI training certification, the Tuseme programme for FAWE Kenya, and the YouRED youth learning platform. None of the instances have their version or patch status documented in the asset inventory. Unauthenticated data disclosure via API calls is also a known Moodle risk — API responses can expose user names, contact information, and password hashes to unauthenticated callers depending on site configuration.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attacker exploiting CVE-2024-43425 can achieve remote code execution on the Moodle server without administrator privileges. Once shell access is gained, the attacker can exfiltrate the Moodle database (containing student records, trainer PII, course completions, and certification data), plant persistent malware, or pivot to other AWS-hosted KRCS systems on the same VPC.</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Compromise of learner and trainer PII across the eLearning, Tuseme, and YouRED platforms. Falsification of training certificates (significant reputational and operational risk for KRCTI as a training institution). Lateral movement to other KRCS AWS workloads.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Immediately verify and document the Moodle version running on each instance. Apply all Moodle security patches to the latest stable release. Restrict Moodle REST API access to authenticated users only and disable guest user API access. Place Moodle instances behind a WAF. Audit Moodle admin accounts and enforce MFA for all admin and teacher roles. For YouRED (under development), implement security from inception rather than as an afterthought.</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r>
              <w:rPr>
                <w:rFonts w:ascii="Arial" w:cs="Arial" w:eastAsia="Arial" w:hAnsi="Arial"/>
                <w:b/>
                <w:bCs/>
                <w:color w:val="C00000"/>
                <w:sz w:val="22"/>
                <w:szCs w:val="22"/>
              </w:rPr>
              <w:t xml:space="preserve">FINDING F-09: </w:t>
            </w:r>
            <w:r>
              <w:rPr>
                <w:rFonts w:ascii="Arial" w:cs="Arial" w:eastAsia="Arial" w:hAnsi="Arial"/>
                <w:b/>
                <w:bCs/>
                <w:color w:val="1F3864"/>
                <w:sz w:val="22"/>
                <w:szCs w:val="22"/>
              </w:rPr>
              <w:t xml:space="preserve">Multiple Legacy and Deprecated Systems Still Network-Accessible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HIGH</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OBJ-001 — Baseline Security Configurations &amp; Hardening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VMMS (Legacy, OnPrem — Laravel/Blade), CBS (Legacy, AWS — Django/React), RedRose (Legacy, referenced), JKH Donations (Retired, AWS), ICT Incident Tracker (Not Used, AWS), Membership Certificate Tracker (Legacy, AWS), GF SR Reporting (Retired, OnPrem), ChatCare (Retired, Azure), LogAlto (Retired), WEMA Platform (Retired)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asset inventory lists ten systems with status of 'Legacy (still referenced)', 'Retired', or 'Not Used' — yet at least five of these (CBS, JKH Donations, ICT Incident Tracker, Membership Certificate Tracker, GF SR Reporting) are documented as still hosted on active cloud infrastructure (AWS or Azure). Deprecated systems do not receive security patches, yet they continue to consume cloud resources, retain access to production databases, and in some cases process or store personal data. The legacy VMMS system (built in Laravel/Blade) runs on KRCS on-premise infrastructure and likely shares network access with active systems.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attacker performs reconnaissance against KRCS AWS-hosted endpoints and discovers an active but unmonitored CBS (Django) instance. As a legacy system, it is unlikely to have received Django security patches (Django issued 11 CVEs since January 2024). The attacker exploits an unpatched vulnerability, gaining access to the server. Because legacy systems are typically excluded from active monitoring and alerting, the intrusion goes undetected. The attacker pivots from the legacy CBS AWS instance to the active CBSX instance running in the same AWS account or VPC.</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Undetected persistent access to KRCS cloud infrastructure. Data exfiltration from systems that were never formally decommissioned (including any residual beneficiary or community data). Legal exposure under KDPA 2019 if personal data was retained beyond its documented retention period on these systems.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Conduct an immediate decommission audit. For each retired/legacy system: confirm whether it is still network-accessible, snapshot and then delete cloud infrastructure, formally document data disposal (secure deletion or archival per retention policy), and remove IAM roles and service account permissions. Legacy on-prem systems (VMMS) should be network-isolated from active systems via VLAN segmentation pending decommission. Assign an owner and a decommission deadline to each legacy system.</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ACD" w:val="clear"/>
            <w:tcMar>
              <w:top w:type="dxa" w:w="100"/>
              <w:left w:type="dxa" w:w="120"/>
              <w:bottom w:type="dxa" w:w="100"/>
              <w:right w:type="dxa" w:w="120"/>
            </w:tcMar>
          </w:tcPr>
          <w:p>
            <w:r>
              <w:rPr>
                <w:rFonts w:ascii="Arial" w:cs="Arial" w:eastAsia="Arial" w:hAnsi="Arial"/>
                <w:b/>
                <w:bCs/>
                <w:color w:val="C00000"/>
                <w:sz w:val="22"/>
                <w:szCs w:val="22"/>
              </w:rPr>
              <w:t xml:space="preserve">FINDING F-10: </w:t>
            </w:r>
            <w:r>
              <w:rPr>
                <w:rFonts w:ascii="Arial" w:cs="Arial" w:eastAsia="Arial" w:hAnsi="Arial"/>
                <w:b/>
                <w:bCs/>
                <w:color w:val="1F3864"/>
                <w:sz w:val="22"/>
                <w:szCs w:val="22"/>
              </w:rPr>
              <w:t xml:space="preserve">Frappe Open Redirect on Login Page (CVE-2024-34074)</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9C6500"/>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OBJ-001 — Baseline Security Configurations &amp; Hardening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Frappe-based instances: OneRC_VMMS, Red Hive, Frappe POS, KRCTI SMS, Lamu Rehab</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CVE-2024-34074 affects Frappe Framework versions prior to 15.26.0 and 14.74.0. The login page accepts a ?redirect= parameter and will redirect users to arbitrary external URLs without validation. This is a classic open redirect vulnerability that can be weaponised for phishing campaigns, particularly effective when the redirect originates from a trusted domain (redcross.or.ke or krcti.ac.ke subdomains).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Attacker crafts a URL such as https://vmms.krcs.org/login?redirect=https://attacker.com/harvest. The link is sent via email to KRCS staff, appearing to originate from a legitimate KRCS domain. The user logs in (or is already logged in), is redirected to the attacker site, and is prompted to re-enter credentials. The attacker harvests the credentials.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Credential theft through phishing. Reputational risk as the phishing vector originates from a trusted KRCS domain. If volunteer credentials for VMMS are harvested, the attacker gains access to volunteer personal data and potentially MPESA payment workflows.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Upgrade Frappe Framework to at least v15.26.0 / v14.74.0. Additionally, implement server-side redirect whitelisting to only allow redirects to the same origin, even in patched versions, as a defence-in-depth measure.</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ACD" w:val="clear"/>
            <w:tcMar>
              <w:top w:type="dxa" w:w="100"/>
              <w:left w:type="dxa" w:w="120"/>
              <w:bottom w:type="dxa" w:w="100"/>
              <w:right w:type="dxa" w:w="120"/>
            </w:tcMar>
          </w:tcPr>
          <w:p>
            <w:r>
              <w:rPr>
                <w:rFonts w:ascii="Arial" w:cs="Arial" w:eastAsia="Arial" w:hAnsi="Arial"/>
                <w:b/>
                <w:bCs/>
                <w:color w:val="C00000"/>
                <w:sz w:val="22"/>
                <w:szCs w:val="22"/>
              </w:rPr>
              <w:t xml:space="preserve">FINDING F-11: </w:t>
            </w:r>
            <w:r>
              <w:rPr>
                <w:rFonts w:ascii="Arial" w:cs="Arial" w:eastAsia="Arial" w:hAnsi="Arial"/>
                <w:b/>
                <w:bCs/>
                <w:color w:val="1F3864"/>
                <w:sz w:val="22"/>
                <w:szCs w:val="22"/>
              </w:rPr>
              <w:t xml:space="preserve">EspoCRM HTML Injection Leading to Credential Phishing (Pre-9.0.8)</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9C6500"/>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OBJ-003 — Access Management Models &amp; Privileged Access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EspoCRM instances — particularly Community Feedback Platform, Digital Engagement Hub, Asset Tracking System</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EspoCRM versions prior to 9.0.8 allow authenticated users with 'read Knowledge Base article' permissions to inject HTML into KB articles in a way that perfectly imitates the EspoCRM login page. A user browsing to the article is presented with a fake login prompt; if they submit credentials, those credentials are captured in plaintext by the attacker who created the article.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attacker with any authenticated account on the Community Feedback Platform creates a KB article with injected HTML mimicking the EspoCRM login form. The form's action submits to an attacker-controlled URL. Staff members who access the KB article are deceived into re-entering their credentials. The attacker collects plaintext passwords.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Plaintext credential harvesting. If the compromised account has elevated permissions, the attacker gains access to community complaint records, beneficiary data, or asset inventory.</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Upgrade all EspoCRM instances to version 9.0.8 or later. Implement a Content Security Policy header on all EspoCRM instances to block form submissions to external domains. Conduct awareness training for staff on recognising phishing attempts even within internal tools.</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ACD" w:val="clear"/>
            <w:tcMar>
              <w:top w:type="dxa" w:w="100"/>
              <w:left w:type="dxa" w:w="120"/>
              <w:bottom w:type="dxa" w:w="100"/>
              <w:right w:type="dxa" w:w="120"/>
            </w:tcMar>
          </w:tcPr>
          <w:p>
            <w:r>
              <w:rPr>
                <w:rFonts w:ascii="Arial" w:cs="Arial" w:eastAsia="Arial" w:hAnsi="Arial"/>
                <w:b/>
                <w:bCs/>
                <w:color w:val="C00000"/>
                <w:sz w:val="22"/>
                <w:szCs w:val="22"/>
              </w:rPr>
              <w:t xml:space="preserve">FINDING F-12: </w:t>
            </w:r>
            <w:r>
              <w:rPr>
                <w:rFonts w:ascii="Arial" w:cs="Arial" w:eastAsia="Arial" w:hAnsi="Arial"/>
                <w:b/>
                <w:bCs/>
                <w:color w:val="1F3864"/>
                <w:sz w:val="22"/>
                <w:szCs w:val="22"/>
              </w:rPr>
              <w:t xml:space="preserve">Encryption at Rest Not Implemented on Microsoft Dynamics NAV 2016</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9C6500"/>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OBJ-005 — Data Retention &amp; Privacy Management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Microsoft Dynamics NAV 2016 — SQL Server database (On-Premises Proxmox)</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asset inventory explicitly records 'No' for Encryption at Rest on Microsoft Dynamics NAV 2016. The SQL Server database holding financial records, vendor bank details, employee HR and salary data, and customer PII is stored on-premises in a Proxmox virtualised environment without transparent data encryption (TDE) enabled. This means that anyone with physical or hypervisor-level access to the storage layer can read the database files directly without needing database credentials.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threat actor who gains access to the Proxmox hypervisor (via a compromised admin account, Proxmox vulnerability, or insider access) can directly mount and copy the SQL Server data files (.mdf and .ldf). These files are readable without database server authentication. Vendor bank account details and employee salary data can be extracted without generating any application-level audit logs.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Silent exfiltration of sensitive data without any forensic trail in the application logs. Violation of KDPA 2019 Article 41 (appropriate technical measures for data security). Potential financial fraud using harvested vendor bank details.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Enable SQL Server Transparent Data Encryption (TDE) on the NAV 2016 database immediately. This is a non-disruptive change. Ensure TDE certificates are backed up and stored securely (not on the same server). As a priority activity in the D365 BC migration, verify that TDE is enabled on the BC database as well.</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ACD" w:val="clear"/>
            <w:tcMar>
              <w:top w:type="dxa" w:w="100"/>
              <w:left w:type="dxa" w:w="120"/>
              <w:bottom w:type="dxa" w:w="100"/>
              <w:right w:type="dxa" w:w="120"/>
            </w:tcMar>
          </w:tcPr>
          <w:p>
            <w:r>
              <w:rPr>
                <w:rFonts w:ascii="Arial" w:cs="Arial" w:eastAsia="Arial" w:hAnsi="Arial"/>
                <w:b/>
                <w:bCs/>
                <w:color w:val="C00000"/>
                <w:sz w:val="22"/>
                <w:szCs w:val="22"/>
              </w:rPr>
              <w:t xml:space="preserve">FINDING F-13: </w:t>
            </w:r>
            <w:r>
              <w:rPr>
                <w:rFonts w:ascii="Arial" w:cs="Arial" w:eastAsia="Arial" w:hAnsi="Arial"/>
                <w:b/>
                <w:bCs/>
                <w:color w:val="1F3864"/>
                <w:sz w:val="22"/>
                <w:szCs w:val="22"/>
              </w:rPr>
              <w:t xml:space="preserve">Moodle Unauthenticated User Data Disclosure via REST API</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9C6500"/>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OBJ-003 — Access Management Models &amp; Privileged Access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eLearning KRCTI, Tuseme Platform, YouRED (all Moodle/PHP, AWS)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Certain Moodle configurations allow unauthenticated users to retrieve sensitive user data including names, email addresses, and hashed passwords through specific API calls that return stack traces. Sites where PHP is not configured with zend.exception_ignore_args=1 in php.ini are affected. Moodle deployments on shared or managed AWS environments (as used by KRCS) often use default PHP configurations that do not include this setting.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unauthenticated attacker calls specific Moodle REST API endpoints that trigger error stack traces. The response includes user email addresses and password hashes. The attacker runs an offline dictionary attack against the hashes, recovers passwords for student or trainer accounts, and logs in. With a teacher or admin account, the attacker can manipulate course completions and certifications, or access all learner records.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Exposure of student and trainer PII. Falsification of training records and certifications for KRCTI first-aid courses — a direct risk to public safety. Abuse of Tuseme student data for a FAWE Kenya programme.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Set zend.exception_ignore_args=1 in php.ini for all Moodle instances. Disable guest user API access and restrict REST API to authenticated sessions only. Audit the current state of exposed API endpoints using Moodle's built-in security overview report. Ensure HTTPS is enforced and enable HSTS.</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ACD" w:val="clear"/>
            <w:tcMar>
              <w:top w:type="dxa" w:w="100"/>
              <w:left w:type="dxa" w:w="120"/>
              <w:bottom w:type="dxa" w:w="100"/>
              <w:right w:type="dxa" w:w="120"/>
            </w:tcMar>
          </w:tcPr>
          <w:p>
            <w:r>
              <w:rPr>
                <w:rFonts w:ascii="Arial" w:cs="Arial" w:eastAsia="Arial" w:hAnsi="Arial"/>
                <w:b/>
                <w:bCs/>
                <w:color w:val="C00000"/>
                <w:sz w:val="22"/>
                <w:szCs w:val="22"/>
              </w:rPr>
              <w:t xml:space="preserve">FINDING F-14: </w:t>
            </w:r>
            <w:r>
              <w:rPr>
                <w:rFonts w:ascii="Arial" w:cs="Arial" w:eastAsia="Arial" w:hAnsi="Arial"/>
                <w:b/>
                <w:bCs/>
                <w:color w:val="1F3864"/>
                <w:sz w:val="22"/>
                <w:szCs w:val="22"/>
              </w:rPr>
              <w:t xml:space="preserve">WordPress User Enumeration via WP-JSON REST API</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9C6500"/>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OBJ-003 — Access Management Models &amp; Privileged Access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redcross.or.ke, krcti.ac.ke, digital.redcross.or.ke, iome.ke, icha.net, giftshop.redcross.or.ke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WordPress installations expose the REST API endpoint /wp-json/wp/v2/users by default, returning a JSON list of all registered usernames (login names), display names, and user IDs without requiring authentication. This provides an attacker with a pre-compiled username list for targeted brute-force attacks, credential stuffing campaigns, or spear-phishing against identified administrators.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Attacker makes a GET request to https://redcross.or.ke/wp-json/wp/v2/users. The response returns all WordPress user accounts including admin usernames. The attacker uses these usernames against the xmlrpc.php endpoint (see Finding F-03) with common password lists, significantly increasing brute-force efficiency by eliminating the username guessing phase.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Enumerated admin usernames directly support the xmlrpc.php brute-force attack chain. Identified staff names can be used in targeted phishing emails to other KRCS staff members.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Restrict access to the /wp-json/wp/v2/users endpoint. This can be done via a filter in functions.php (add_filter to require authentication for the users REST route) or via a security plugin. Additionally, set all WordPress admin display names to differ from their login usernames to reduce information leakage even if enumeration is not fully prevented.</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ACD" w:val="clear"/>
            <w:tcMar>
              <w:top w:type="dxa" w:w="100"/>
              <w:left w:type="dxa" w:w="120"/>
              <w:bottom w:type="dxa" w:w="100"/>
              <w:right w:type="dxa" w:w="120"/>
            </w:tcMar>
          </w:tcPr>
          <w:p>
            <w:r>
              <w:rPr>
                <w:rFonts w:ascii="Arial" w:cs="Arial" w:eastAsia="Arial" w:hAnsi="Arial"/>
                <w:b/>
                <w:bCs/>
                <w:color w:val="C00000"/>
                <w:sz w:val="22"/>
                <w:szCs w:val="22"/>
              </w:rPr>
              <w:t xml:space="preserve">FINDING F-15: </w:t>
            </w:r>
            <w:r>
              <w:rPr>
                <w:rFonts w:ascii="Arial" w:cs="Arial" w:eastAsia="Arial" w:hAnsi="Arial"/>
                <w:b/>
                <w:bCs/>
                <w:color w:val="1F3864"/>
                <w:sz w:val="22"/>
                <w:szCs w:val="22"/>
              </w:rPr>
              <w:t xml:space="preserve">Frappe Stored XSS via SVG Avatar Upload (CVE-2025-65267)</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9C6500"/>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OBJ-002 — Data Flow &amp; Integration Security</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OneRC_VMMS, Red Hive, Frappe POS, KRCTI SMS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CVE-2025-65267 affects ERPNext v15.83.2 and Frappe Framework v15.86.0 and below. Malicious JavaScript can be embedded in SVG files uploaded as user avatars. When another user views the profile, the JavaScript executes in their browser context. This allows stored XSS leading to session token theft and potential account takeover for any user who views the malicious profile.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attacker with any authenticated account on OneRC_VMMS uploads an SVG file as their avatar containing a JavaScript payload that sends the viewer's session cookie to an attacker-controlled server. When an HR administrator reviews the volunteer profile, their session token is exfiltrated. The attacker uses the token to impersonate the HR admin and access all volunteer records.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 takeover for any user who views the malicious avatar. If an admin account is compromised, full data access on the Frappe instance follows.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Upgrade to Frappe Framework v15.86.1 or later. Additionally, enforce server-side sanitisation of all uploaded file types — SVG files should be sanitised to strip JavaScript content, or SVG upload for avatars should be disabled entirely. Implement a CSP header that prevents execution of inline scripts.</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ACD" w:val="clear"/>
            <w:tcMar>
              <w:top w:type="dxa" w:w="100"/>
              <w:left w:type="dxa" w:w="120"/>
              <w:bottom w:type="dxa" w:w="100"/>
              <w:right w:type="dxa" w:w="120"/>
            </w:tcMar>
          </w:tcPr>
          <w:p>
            <w:r>
              <w:rPr>
                <w:rFonts w:ascii="Arial" w:cs="Arial" w:eastAsia="Arial" w:hAnsi="Arial"/>
                <w:b/>
                <w:bCs/>
                <w:color w:val="C00000"/>
                <w:sz w:val="22"/>
                <w:szCs w:val="22"/>
              </w:rPr>
              <w:t xml:space="preserve">FINDING F-16: </w:t>
            </w:r>
            <w:r>
              <w:rPr>
                <w:rFonts w:ascii="Arial" w:cs="Arial" w:eastAsia="Arial" w:hAnsi="Arial"/>
                <w:b/>
                <w:bCs/>
                <w:color w:val="1F3864"/>
                <w:sz w:val="22"/>
                <w:szCs w:val="22"/>
              </w:rPr>
              <w:t xml:space="preserve">Incomplete Asset Inventory — Missing Security Metadata for Majority of Systems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9C6500"/>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OBJ-001 — Baseline Security Configurations &amp; Hardening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Asset inventory (Njenga, Robert, Geoffrey worksheets) — majority of 53 documented systems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review of the three asset inventory worksheets reveals that security-critical fields are blank or marked as examples for the majority of systems. Specifically: Confidentiality Classification is blank for most systems; Encryption at Rest, Encryption in Transit, AuthN Method, AuthZ Method, Audit Logging, and Compliance Scope are undocumented for the majority of the KRCS-built and EspoCRM-based systems. Without this baseline documentation, it is impossible to perform an informed security assessment, confirm regulatory compliance, or prioritise remediation activities. The inventory also lists 'Cloud (Not Sure Which)' as the hosting provider for the Integrity Line system — a whistleblowing platform that processes highly sensitive integrity reports.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absence of documentation does not by itself create an exploitation path, but it indicates that controls may not exist. When an incident occurs, the lack of a documented baseline prevents effective forensic investigation, incident response scoping, or determination of what data was at risk.</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Inability to demonstrate compliance with KDPA 2019. Difficulty scoping breach notifications. Inability to implement risk-based security prioritisation. The Integrity Line uncertainty is particularly concerning — a compromised whistleblowing platform puts reporters at physical risk.</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 the asset inventory within 30 days. Prioritise: Confidentiality classification for all systems; confirmation of encryption at rest and in transit; documentation of authentication methods; identification of the Integrity Line cloud provider. Assign a named owner for each system and make inventory completion a performance expectation for system owners.</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ACD" w:val="clear"/>
            <w:tcMar>
              <w:top w:type="dxa" w:w="100"/>
              <w:left w:type="dxa" w:w="120"/>
              <w:bottom w:type="dxa" w:w="100"/>
              <w:right w:type="dxa" w:w="120"/>
            </w:tcMar>
          </w:tcPr>
          <w:p>
            <w:r>
              <w:rPr>
                <w:rFonts w:ascii="Arial" w:cs="Arial" w:eastAsia="Arial" w:hAnsi="Arial"/>
                <w:b/>
                <w:bCs/>
                <w:color w:val="C00000"/>
                <w:sz w:val="22"/>
                <w:szCs w:val="22"/>
              </w:rPr>
              <w:t xml:space="preserve">FINDING F-17: </w:t>
            </w:r>
            <w:r>
              <w:rPr>
                <w:rFonts w:ascii="Arial" w:cs="Arial" w:eastAsia="Arial" w:hAnsi="Arial"/>
                <w:b/>
                <w:bCs/>
                <w:color w:val="1F3864"/>
                <w:sz w:val="22"/>
                <w:szCs w:val="22"/>
              </w:rPr>
              <w:t xml:space="preserve">Audit Logging Absent or Undocumented Across Most In-Scope Systems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9C6500"/>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OBJ-001 — Baseline Security Configurations &amp; Hardening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KRCS-built systems (CBS, CBSX, EOC, Donations Platform, GF Data Hub, EspoCRM cluster, all Frappe instances)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Audit Logging field in the asset inventory is blank for the majority of KRCS-built systems. Only the two ERP systems (NAV 2016: SQL Server logs / NAV Change Log; D365 BC: SQL Server logs / BC Change Log) and one Frappe entry ('op pol ag' — likely 'operational policy and governance') have any audit logging reference. Without centralised, tamper-evident logging, the organisation cannot detect intrusions, investigate anomalies, support forensic analysis, or demonstrate compliance with KDPA 2019 accountability requirements.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attacker who compromises any of the undocumented systems can operate freely without triggering any alerts. Data exfiltration, privilege escalation, or configuration changes will leave no forensic trail, making it impossible to determine the scope or timeline of a breach after the fact.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Inability to detect or investigate security incidents. Difficulty meeting KDPA 2019 accountability obligations. Risk of prolonged undetected attacker presence (dwell time).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 centralised log aggregation (AWS CloudWatch or an open-source SIEM such as Wazuh — already referenced in the asset inventory template) for all cloud-hosted KRCS systems. For on-premise systems, forward logs to a central syslog server. Define minimum logging requirements: authentication events, privilege use, configuration changes, data exports. Establish a log review schedule and alerting rules for high-risk events.</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r>
              <w:rPr>
                <w:rFonts w:ascii="Arial" w:cs="Arial" w:eastAsia="Arial" w:hAnsi="Arial"/>
                <w:b/>
                <w:bCs/>
                <w:color w:val="C00000"/>
                <w:sz w:val="22"/>
                <w:szCs w:val="22"/>
              </w:rPr>
              <w:t xml:space="preserve">FINDING F-18: </w:t>
            </w:r>
            <w:r>
              <w:rPr>
                <w:rFonts w:ascii="Arial" w:cs="Arial" w:eastAsia="Arial" w:hAnsi="Arial"/>
                <w:b/>
                <w:bCs/>
                <w:color w:val="1F3864"/>
                <w:sz w:val="22"/>
                <w:szCs w:val="22"/>
              </w:rPr>
              <w:t xml:space="preserve">CONFIRMED LIVE: Exposed Elementor Draft Page Publicly Indexed by Google (redcross.or.ke)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HIGH</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OBJ-001 — Baseline Security Configurations &amp; Hardening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redcross.or.ke (WordPress/Elementor, Hostinger + AWS)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During live reconnaissance, the URL https://redcross.or.ke/elementor-page-11374/ was discovered via Google search results — confirming two things: (1) redcross.or.ke uses the Elementor page builder plugin, and (2) an Elementor draft/preview page is publicly accessible and indexed by Google. This is not a theoretical finding — it is a live, confirmed exposure observed during this audit. WordPress and Elementor draft pages are typically assigned public URLs when created; they should be protected by authentication but in many configurations are accessible without login. Google has indexed this page, meaning it has been discoverable since at least the date of Google's last crawl.</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Step 1 — Discovery: Any attacker running a site:redcross.or.ke Google search or using Google dorking against WordPress sites will discover /elementor-page-11374/ in search results. Step 2 — Content Reconnaissance: The attacker accesses the draft page and reads unpublished content — upcoming campaigns, emergency appeals, donor communications, internal messaging, or content scheduled for future publication. Step 3 — Elementor Version Fingerprinting: The page source reveals the exact Elementor version installed (visible in /wp-content/plugins/elementor/assets/ script URLs). Step 4 — Targeted CVE Exploitation: The attacker cross-references the identified Elementor version against current CVEs. Elementor Stored XSS (affecting versions through 3.29.0, fixed in 3.35.6 as of February 2026) and Arbitrary File Read (versions up to 3.30.2) are active if the plugin has not been updated to the latest release. Step 5 — Template Data Extraction: Using the Elementor 'elementor-template' shortcode vulnerability (versions up to 3.25.10), any contributor-level user can extract the content of Private, Pending, and Draft templates — including this exposed page and any other unpublished content.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Premature disclosure of KRCS communications, donor appeals, emergency response plans, or campaign content before intended publication. Elementor version fingerprinting accelerates targeted plugin exploitation. If the draft page contains personal data (beneficiary information, staff details) that was embedded for design purposes, this constitutes a KDPA 2019 breach. The Google indexing also means search engines may have cached the content permanently.</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Immediately review the content of /elementor-page-11374/ and assess what information is exposed. Add authentication requirements to all draft and preview WordPress pages (via .htaccess or a security plugin). Add the following to robots.txt: Disallow: /elementor-page-*/ to prevent further indexing. Request Google Search Console removal of the indexed URL. Update Elementor to the latest version (3.35.6 or later as of February 2026 to address the Stored XSS and File Read issues). Disable public access to the WordPress REST API for unauthenticated users.</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r>
              <w:rPr>
                <w:rFonts w:ascii="Arial" w:cs="Arial" w:eastAsia="Arial" w:hAnsi="Arial"/>
                <w:b/>
                <w:bCs/>
                <w:color w:val="C00000"/>
                <w:sz w:val="22"/>
                <w:szCs w:val="22"/>
              </w:rPr>
              <w:t xml:space="preserve">FINDING F-19: </w:t>
            </w:r>
            <w:r>
              <w:rPr>
                <w:rFonts w:ascii="Arial" w:cs="Arial" w:eastAsia="Arial" w:hAnsi="Arial"/>
                <w:b/>
                <w:bCs/>
                <w:color w:val="1F3864"/>
                <w:sz w:val="22"/>
                <w:szCs w:val="22"/>
              </w:rPr>
              <w:t xml:space="preserve">CONFIRMED LIVE: Elementor Plugin Active CVEs on Verified Installation (redcross.or.ke)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HIGH</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OBJ-001 — Baseline Security Configurations &amp; Hardening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redcross.or.ke (Elementor plugin confirmed via live recon)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Elementor's installation on redcross.or.ke is confirmed. The plugin has active, exploitable CVEs that are critical depending on the version deployed. Key vulnerabilities include: CVE-2026-1206 (active 2026 vulnerability); CVE-2025-11220 (2025); Stored XSS via the Elementor Website Builder affecting versions through 3.29.0 (fixed in 3.35.6, February 2026); Arbitrary File Read via Import_Images::import() function in all versions up to 3.30.2; and CVE-2025-24752 in Essential Addons for Elementor (affecting 2M+ sites). The King Addons for Elementor plugin (CVE-2025-8489) allows critical privilege escalation during registration — if this or similar Elementor add-ons are also installed, the impact is elevated to Critical. The Elementor version running on the site is not documented in the asset inventory, making patch status impossible to verify without direct access.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attacker visits redcross.or.ke, reads the page source, and identifies the exact version of Elementor from the versioned script URLs in /wp-content/plugins/elementor/. If the version is below 3.35.6 (the February 2026 patched version), the attacker crafts a Stored XSS payload via Elementor's widget input fields. A contributor-level WordPress account (obtainable via the open wp-registration or xmlrpc.php brute force) is sufficient to trigger the XSS, injecting a persistent script into any page built with Elementor that steals session tokens from every site visitor — including administrators.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Persistent session token theft from all visitors to KRCS public website. Admin account takeover via harvested session. Full WordPress site compromise including the ability to install malicious plugins, access the wp-config.php database credentials, and pivot to other KRCS systems. Potential SEO poisoning (injecting malicious links into KRCS pages) which would damage the organisation's credibility and could be used to redirect donation links.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Update Elementor to the latest available version immediately (minimum 3.35.6 for XSS fix). Audit all installed Elementor add-ons and update each to its latest version, removing any that are not in active use. Do not allow contributor-level or lower accounts on the KRCS WordPress sites — restrict registration if it is enabled. Subscribe to Elementor security notifications (WPScan or Patchstack) to receive alerts for future vulnerabilities.</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r>
              <w:rPr>
                <w:rFonts w:ascii="Arial" w:cs="Arial" w:eastAsia="Arial" w:hAnsi="Arial"/>
                <w:b/>
                <w:bCs/>
                <w:color w:val="C00000"/>
                <w:sz w:val="22"/>
                <w:szCs w:val="22"/>
              </w:rPr>
              <w:t xml:space="preserve">FINDING F-20: </w:t>
            </w:r>
            <w:r>
              <w:rPr>
                <w:rFonts w:ascii="Arial" w:cs="Arial" w:eastAsia="Arial" w:hAnsi="Arial"/>
                <w:b/>
                <w:bCs/>
                <w:color w:val="1F3864"/>
                <w:sz w:val="22"/>
                <w:szCs w:val="22"/>
              </w:rPr>
              <w:t xml:space="preserve">WordPress Version Disclosure via Meta Generator Tag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OBJ-001 — Baseline Security Configurations &amp; Hardening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six WordPress sites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WordPress by default includes a meta generator tag in each page's HTML source: &lt;meta name='generator' content='WordPress 6.x.x' /&gt;. This advertises the exact CMS version to any attacker performing reconnaissance, allowing them to immediately identify applicable CVEs for the specific version running on each site without any brute force.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Attacker views page source of redcross.or.ke, identifies the exact WordPress version, cross-references against the WPScan vulnerability database, and selects the most suitable unpatched CVE for that version to exploit.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Reduction in attacker effort for targeting — not directly exploitable on its own, but a reconnaissance enabler.</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Remove the generator meta tag via functions.php: remove_action('wp_head', 'wp_generator'). Also remove the WordPress version from RSS feeds and login page sources. This is a one-line change per site.</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r>
              <w:rPr>
                <w:rFonts w:ascii="Arial" w:cs="Arial" w:eastAsia="Arial" w:hAnsi="Arial"/>
                <w:b/>
                <w:bCs/>
                <w:color w:val="C00000"/>
                <w:sz w:val="22"/>
                <w:szCs w:val="22"/>
              </w:rPr>
              <w:t xml:space="preserve">FINDING F-21: </w:t>
            </w:r>
            <w:r>
              <w:rPr>
                <w:rFonts w:ascii="Arial" w:cs="Arial" w:eastAsia="Arial" w:hAnsi="Arial"/>
                <w:b/>
                <w:bCs/>
                <w:color w:val="1F3864"/>
                <w:sz w:val="22"/>
                <w:szCs w:val="22"/>
              </w:rPr>
              <w:t xml:space="preserve">No Rate Limiting Documented for Public APIs Across Any In-Scope System</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OBJ-002 — Data Flow &amp; Integration Security</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systems with API endpoints — EspoCRM cluster (AWS), CBSX (AWS, NodeJS/React), Frappe instances, Django applications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Rate-Limit Config field is blank for every system in the asset inventory. No system has documented API gateway routes or rate limiting controls. In the absence of rate limiting, all public and semi-public APIs are vulnerable to brute-force attacks, denial-of-service through excessive API calls, and enumeration attacks. This is a baseline OWASP API Security Top 10 (API4:2023 — Unrestricted Resource Consumption) finding.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attacker calls the EspoCRM REST API in a tight loop, enumerating records or attempting credential-based attacks at a speed that exceeds what any manual investigation would detect. Without rate limiting, the API processes every request regardless of volume.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Denial of service for legitimate users, resource exhaustion on AWS infrastructure (unexpected cost spikes), and facilitated brute-force or enumeration attacks.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 API rate limiting at the application gateway level for all public and partner-facing APIs. For AWS-hosted systems, use AWS API Gateway or AWS WAF rate-based rules. Document rate limit configurations in the asset inventory. Set alert thresholds for unusual API call volumes.</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r>
              <w:rPr>
                <w:rFonts w:ascii="Arial" w:cs="Arial" w:eastAsia="Arial" w:hAnsi="Arial"/>
                <w:b/>
                <w:bCs/>
                <w:color w:val="C00000"/>
                <w:sz w:val="22"/>
                <w:szCs w:val="22"/>
              </w:rPr>
              <w:t xml:space="preserve">FINDING F-22: </w:t>
            </w:r>
            <w:r>
              <w:rPr>
                <w:rFonts w:ascii="Arial" w:cs="Arial" w:eastAsia="Arial" w:hAnsi="Arial"/>
                <w:b/>
                <w:bCs/>
                <w:color w:val="1F3864"/>
                <w:sz w:val="22"/>
                <w:szCs w:val="22"/>
              </w:rPr>
              <w:t xml:space="preserve">MPESA Integration Security Undocumented Across Multiple Systems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OBJ-002 — Data Flow &amp; Integration Security</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121 (CVA/beneficiary payments), OneRC_VMMS, VMMS Legacy, Microsoft Dynamics NAV 2016 (MPESA + ABSA Bank + KRA ETIMS)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 least four KRCS systems are documented as integrating with MPESA for financial transactions — including direct beneficiary cash payments through the 121 CVA system. None of the asset inventory entries document how MPESA API credentials (consumer key, consumer secret, initiator password) are stored, how webhook signatures are validated, or how transaction reconciliation is performed. NAV 2016 also integrates directly with ABSA Bank and KRA eTIMS. These are high-value financial integration points with no documented security controls.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attacker who obtains MPESA API credentials from an insecurely stored configuration file (as documented for NAV 2016 .config files) can initiate fraudulent MPESA transactions outside of the application, redirect beneficiary payments, or query transaction histories. For webhook-based integrations, without signature validation, an attacker can send spoofed MPESA callback payloads to credit fraudulent transactions.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Direct financial loss through fraudulent transactions. Misappropriation of donor funds or humanitarian cash assistance intended for beneficiaries. Reputational damage and donor accountability violations (USAID, UN, EU frameworks).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Document MPESA API credential storage for all four integrations. Ensure credentials are stored in environment variables or a secrets manager — never in source code or config files. Validate Safaricom webhook signatures on every callback. Implement transaction reconciliation logic and daily balance checks for MPESA-enabled systems. Conduct a dedicated financial API security review as a separate audit workstream.</w:t>
            </w:r>
          </w:p>
        </w:tc>
      </w:tr>
    </w:tbl>
    <w:p>
      <w:pPr>
        <w:spacing w:after="80" w:before="8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360"/>
      </w:tblGrid>
      <w:tr>
        <w:tc>
          <w:tcPr>
            <w:tcW w:type="dxa" w:w="9360"/>
            <w:gridSpan w:val="2"/>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r>
              <w:rPr>
                <w:rFonts w:ascii="Arial" w:cs="Arial" w:eastAsia="Arial" w:hAnsi="Arial"/>
                <w:b/>
                <w:bCs/>
                <w:color w:val="C00000"/>
                <w:sz w:val="22"/>
                <w:szCs w:val="22"/>
              </w:rPr>
              <w:t xml:space="preserve">FINDING F-23: </w:t>
            </w:r>
            <w:r>
              <w:rPr>
                <w:rFonts w:ascii="Arial" w:cs="Arial" w:eastAsia="Arial" w:hAnsi="Arial"/>
                <w:b/>
                <w:bCs/>
                <w:color w:val="1F3864"/>
                <w:sz w:val="22"/>
                <w:szCs w:val="22"/>
              </w:rPr>
              <w:t xml:space="preserve">NAV 2016 Weekly Backup with Single SQL Server as Point of Failure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Audit Objective</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OBJ-005 — Data Retention &amp; Privacy Management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Affected Systems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Microsoft Dynamics NAV 2016 — SQL Server (On-Premises)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asset inventory documents backup frequency as 'Weekly' and Single Point of Failure as 'Yes, SQL Server Database' for NAV 2016. A weekly backup cycle means that up to seven days of financial transactions, vendor payments, and procurement records could be irrecoverably lost in a ransomware or infrastructure failure event. The single SQL Server dependency means there is no failover path if the database server fails.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Exploitation Scenario</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ransomware group targeting KRCS encrypts the Proxmox VMs. The most recent SQL Server backup is seven days old. Seven days of financial records — including MPESA payments, vendor disbursements, and payroll — cannot be recovered, forcing manual reconstruction from paper records.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 to seven days of irreversible financial data loss. Significant disruption to financial operations, payroll processing, and donor reporting. Recovery costs and reputational impact with donors and partners.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Recommended Fix</w:t>
            </w:r>
          </w:p>
        </w:tc>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Increase backup frequency to at least daily for the NAV SQL Server database, with transaction log backups every hour. Store backups in an off-site or cloud location (Azure Blob Storage with immutable backup policy) that is isolated from the primary network to resist ransomware. Test restore procedures quarterly. Document RTO/RPO targets for NAV formally.</w:t>
            </w:r>
          </w:p>
        </w:tc>
      </w:tr>
    </w:tbl>
    <w:p>
      <w:pPr>
        <w:spacing w:after="80" w:before="80"/>
      </w:pPr>
      <w:r>
        <w:t xml:space="preserve"/>
      </w:r>
    </w:p>
    <w:p>
      <w:pPr>
        <w:pStyle w:val="Heading1"/>
        <w:pageBreakBefore/>
      </w:pPr>
      <w:r>
        <w:rPr>
          <w:rFonts w:ascii="Arial" w:cs="Arial" w:eastAsia="Arial" w:hAnsi="Arial"/>
          <w:b/>
          <w:bCs/>
          <w:color w:val="1F3864"/>
          <w:sz w:val="36"/>
          <w:szCs w:val="36"/>
        </w:rPr>
        <w:t xml:space="preserve">6. Attack Chains</w:t>
      </w:r>
    </w:p>
    <w:p>
      <w:pPr>
        <w:spacing w:after="120"/>
      </w:pPr>
      <w:r>
        <w:rPr>
          <w:rFonts w:ascii="Arial" w:cs="Arial" w:eastAsia="Arial" w:hAnsi="Arial"/>
          <w:color w:val="202020"/>
          <w:sz w:val="20"/>
          <w:szCs w:val="20"/>
        </w:rPr>
        <w:t xml:space="preserve">This section demonstrates how multiple findings — each individually manageable — can be combined by a sophisticated attacker into high-impact exploit chains. These chains are particularly important because they reveal systemic risks that do not appear when findings are reviewed in isolation.</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Attack Chain 1: WordPress Compromise to ERP Financial System Access</w:t>
      </w:r>
    </w:p>
    <w:p>
      <w:pPr>
        <w:pStyle w:val="ListParagraph"/>
        <w:numPr>
          <w:ilvl w:val="0"/>
          <w:numId w:val="2"/>
        </w:numPr>
        <w:spacing w:after="60"/>
      </w:pPr>
      <w:r>
        <w:rPr>
          <w:rFonts w:ascii="Arial" w:cs="Arial" w:eastAsia="Arial" w:hAnsi="Arial"/>
          <w:color w:val="202020"/>
          <w:sz w:val="20"/>
          <w:szCs w:val="20"/>
        </w:rPr>
        <w:t xml:space="preserve">Step 1 — Reconnaissance: Attacker performs WordPress enumeration against redcross.or.ke via /wp-json/wp/v2/users (Finding F-11), harvesting admin usernames without authentication.</w:t>
      </w:r>
    </w:p>
    <w:p>
      <w:pPr>
        <w:pStyle w:val="ListParagraph"/>
        <w:numPr>
          <w:ilvl w:val="0"/>
          <w:numId w:val="2"/>
        </w:numPr>
        <w:spacing w:after="60"/>
      </w:pPr>
      <w:r>
        <w:rPr>
          <w:rFonts w:ascii="Arial" w:cs="Arial" w:eastAsia="Arial" w:hAnsi="Arial"/>
          <w:color w:val="202020"/>
          <w:sz w:val="20"/>
          <w:szCs w:val="20"/>
        </w:rPr>
        <w:t xml:space="preserve">Step 2 — Initial Access: Attacker exploits xmlrpc.php (Finding F-03) with a multi-call brute-force payload using the enumerated usernames and credential stuffing lists. Admin password is discovered within minutes.</w:t>
      </w:r>
    </w:p>
    <w:p>
      <w:pPr>
        <w:pStyle w:val="ListParagraph"/>
        <w:numPr>
          <w:ilvl w:val="0"/>
          <w:numId w:val="2"/>
        </w:numPr>
        <w:spacing w:after="60"/>
      </w:pPr>
      <w:r>
        <w:rPr>
          <w:rFonts w:ascii="Arial" w:cs="Arial" w:eastAsia="Arial" w:hAnsi="Arial"/>
          <w:color w:val="202020"/>
          <w:sz w:val="20"/>
          <w:szCs w:val="20"/>
        </w:rPr>
        <w:t xml:space="preserve">Step 3 — Web Shell Implant: Attacker logs into wp-admin, installs a malicious PHP plugin or edits a theme file via the Theme Editor, achieving remote code execution on the Hostinger server.</w:t>
      </w:r>
    </w:p>
    <w:p>
      <w:pPr>
        <w:pStyle w:val="ListParagraph"/>
        <w:numPr>
          <w:ilvl w:val="0"/>
          <w:numId w:val="2"/>
        </w:numPr>
        <w:spacing w:after="60"/>
      </w:pPr>
      <w:r>
        <w:rPr>
          <w:rFonts w:ascii="Arial" w:cs="Arial" w:eastAsia="Arial" w:hAnsi="Arial"/>
          <w:color w:val="202020"/>
          <w:sz w:val="20"/>
          <w:szCs w:val="20"/>
        </w:rPr>
        <w:t xml:space="preserve">Step 4 — Credential Harvest: From the web server, attacker searches for hardcoded credentials in wp-config.php and other configuration files, recovering database credentials and any reused passwords.</w:t>
      </w:r>
    </w:p>
    <w:p>
      <w:pPr>
        <w:pStyle w:val="ListParagraph"/>
        <w:numPr>
          <w:ilvl w:val="0"/>
          <w:numId w:val="2"/>
        </w:numPr>
        <w:spacing w:after="60"/>
      </w:pPr>
      <w:r>
        <w:rPr>
          <w:rFonts w:ascii="Arial" w:cs="Arial" w:eastAsia="Arial" w:hAnsi="Arial"/>
          <w:color w:val="202020"/>
          <w:sz w:val="20"/>
          <w:szCs w:val="20"/>
        </w:rPr>
        <w:t xml:space="preserve">Step 5 — Lateral Movement: Using recovered credentials and the fact that password reuse is not prevented by MFA (Finding F-05), attacker authenticates to NAV 2016 via its web client or OData endpoint.</w:t>
      </w:r>
    </w:p>
    <w:p>
      <w:pPr>
        <w:pStyle w:val="ListParagraph"/>
        <w:numPr>
          <w:ilvl w:val="0"/>
          <w:numId w:val="2"/>
        </w:numPr>
        <w:spacing w:after="60"/>
      </w:pPr>
      <w:r>
        <w:rPr>
          <w:rFonts w:ascii="Arial" w:cs="Arial" w:eastAsia="Arial" w:hAnsi="Arial"/>
          <w:color w:val="202020"/>
          <w:sz w:val="20"/>
          <w:szCs w:val="20"/>
        </w:rPr>
        <w:t xml:space="preserve">Step 6 — Financial Fraud: With NAV access, attacker modifies vendor bank details (ABSA Bank integration) to redirect upcoming payments to an attacker-controlled account. The weekly backup (Finding F-16) means the unauthorised change is captured in the next backup as if legitimate.</w:t>
      </w:r>
    </w:p>
    <w:p>
      <w:pPr>
        <w:pStyle w:val="ListParagraph"/>
        <w:numPr>
          <w:ilvl w:val="0"/>
          <w:numId w:val="2"/>
        </w:numPr>
        <w:spacing w:after="60"/>
      </w:pPr>
      <w:r>
        <w:rPr>
          <w:rFonts w:ascii="Arial" w:cs="Arial" w:eastAsia="Arial" w:hAnsi="Arial"/>
          <w:color w:val="202020"/>
          <w:sz w:val="20"/>
          <w:szCs w:val="20"/>
        </w:rPr>
        <w:t xml:space="preserve">Severity of Chain: Critical — combines F-03, F-11, F-02, F-05, F-16 into a single financially destructive exploit.</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Attack Chain 2: EspoCRM Hash Enumeration to Beneficiary Data Exfiltration</w:t>
      </w:r>
    </w:p>
    <w:p>
      <w:pPr>
        <w:pStyle w:val="ListParagraph"/>
        <w:numPr>
          <w:ilvl w:val="0"/>
          <w:numId w:val="2"/>
        </w:numPr>
        <w:spacing w:after="60"/>
      </w:pPr>
      <w:r>
        <w:rPr>
          <w:rFonts w:ascii="Arial" w:cs="Arial" w:eastAsia="Arial" w:hAnsi="Arial"/>
          <w:color w:val="202020"/>
          <w:sz w:val="20"/>
          <w:szCs w:val="20"/>
        </w:rPr>
        <w:t xml:space="preserve">Step 1 — Initial Access: Attacker registers a community member account on the public-facing Community Feedback Platform (EspoCRM, AWS), or obtains credentials through social engineering a staff member.</w:t>
      </w:r>
    </w:p>
    <w:p>
      <w:pPr>
        <w:pStyle w:val="ListParagraph"/>
        <w:numPr>
          <w:ilvl w:val="0"/>
          <w:numId w:val="2"/>
        </w:numPr>
        <w:spacing w:after="60"/>
      </w:pPr>
      <w:r>
        <w:rPr>
          <w:rFonts w:ascii="Arial" w:cs="Arial" w:eastAsia="Arial" w:hAnsi="Arial"/>
          <w:color w:val="202020"/>
          <w:sz w:val="20"/>
          <w:szCs w:val="20"/>
        </w:rPr>
        <w:t xml:space="preserve">Step 2 — Privilege Escalation via Hash Enumeration: Attacker exploits the password hash sorting vulnerability (Finding F-04) against the EspoCRM Users API. Through iterative binary search over multiple sorting calls, the attacker reconstructs the admin user's password hash.</w:t>
      </w:r>
    </w:p>
    <w:p>
      <w:pPr>
        <w:pStyle w:val="ListParagraph"/>
        <w:numPr>
          <w:ilvl w:val="0"/>
          <w:numId w:val="2"/>
        </w:numPr>
        <w:spacing w:after="60"/>
      </w:pPr>
      <w:r>
        <w:rPr>
          <w:rFonts w:ascii="Arial" w:cs="Arial" w:eastAsia="Arial" w:hAnsi="Arial"/>
          <w:color w:val="202020"/>
          <w:sz w:val="20"/>
          <w:szCs w:val="20"/>
        </w:rPr>
        <w:t xml:space="preserve">Step 3 — Offline Cracking: The recovered hash is run through an offline dictionary/rule-based attack using tools like Hashcat. If the admin uses a common or weak password, it is recovered within hours.</w:t>
      </w:r>
    </w:p>
    <w:p>
      <w:pPr>
        <w:pStyle w:val="ListParagraph"/>
        <w:numPr>
          <w:ilvl w:val="0"/>
          <w:numId w:val="2"/>
        </w:numPr>
        <w:spacing w:after="60"/>
      </w:pPr>
      <w:r>
        <w:rPr>
          <w:rFonts w:ascii="Arial" w:cs="Arial" w:eastAsia="Arial" w:hAnsi="Arial"/>
          <w:color w:val="202020"/>
          <w:sz w:val="20"/>
          <w:szCs w:val="20"/>
        </w:rPr>
        <w:t xml:space="preserve">Step 4 — Admin Compromise: With admin credentials, the attacker gains full access to all EspoCRM instances. Because multiple KRCS EspoCRM deployments may share the same admin credentials, access extends across multiple instances.</w:t>
      </w:r>
    </w:p>
    <w:p>
      <w:pPr>
        <w:pStyle w:val="ListParagraph"/>
        <w:numPr>
          <w:ilvl w:val="0"/>
          <w:numId w:val="2"/>
        </w:numPr>
        <w:spacing w:after="60"/>
      </w:pPr>
      <w:r>
        <w:rPr>
          <w:rFonts w:ascii="Arial" w:cs="Arial" w:eastAsia="Arial" w:hAnsi="Arial"/>
          <w:color w:val="202020"/>
          <w:sz w:val="20"/>
          <w:szCs w:val="20"/>
        </w:rPr>
        <w:t xml:space="preserve">Step 5 — Data Exfiltration: Attacker exports beneficiary records, community complaint data (including reporters' identities), health partner data, asset tracking records, and the Integrity Line-adjacent data (if any is cross-referenced in EspoCRM).</w:t>
      </w:r>
    </w:p>
    <w:p>
      <w:pPr>
        <w:pStyle w:val="ListParagraph"/>
        <w:numPr>
          <w:ilvl w:val="0"/>
          <w:numId w:val="2"/>
        </w:numPr>
        <w:spacing w:after="60"/>
      </w:pPr>
      <w:r>
        <w:rPr>
          <w:rFonts w:ascii="Arial" w:cs="Arial" w:eastAsia="Arial" w:hAnsi="Arial"/>
          <w:color w:val="202020"/>
          <w:sz w:val="20"/>
          <w:szCs w:val="20"/>
        </w:rPr>
        <w:t xml:space="preserve">Step 6 — Phishing Amplification: Using the HTML injection vulnerability (Finding F-09), attacker creates malicious KB articles on the compromised EspoCRM instances, targeting other KRCS staff members to harvest additional credentials.</w:t>
      </w:r>
    </w:p>
    <w:p>
      <w:pPr>
        <w:pStyle w:val="ListParagraph"/>
        <w:numPr>
          <w:ilvl w:val="0"/>
          <w:numId w:val="2"/>
        </w:numPr>
        <w:spacing w:after="60"/>
      </w:pPr>
      <w:r>
        <w:rPr>
          <w:rFonts w:ascii="Arial" w:cs="Arial" w:eastAsia="Arial" w:hAnsi="Arial"/>
          <w:color w:val="202020"/>
          <w:sz w:val="20"/>
          <w:szCs w:val="20"/>
        </w:rPr>
        <w:t xml:space="preserve">Severity of Chain: Critical — combines F-04, F-09 into a chain targeting humanitarian beneficiary and operational data.</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Attack Chain 3: Frappe Open Redirect + XSS to Financial System Takeover</w:t>
      </w:r>
    </w:p>
    <w:p>
      <w:pPr>
        <w:pStyle w:val="ListParagraph"/>
        <w:numPr>
          <w:ilvl w:val="0"/>
          <w:numId w:val="2"/>
        </w:numPr>
        <w:spacing w:after="60"/>
      </w:pPr>
      <w:r>
        <w:rPr>
          <w:rFonts w:ascii="Arial" w:cs="Arial" w:eastAsia="Arial" w:hAnsi="Arial"/>
          <w:color w:val="202020"/>
          <w:sz w:val="20"/>
          <w:szCs w:val="20"/>
        </w:rPr>
        <w:t xml:space="preserve">Step 1 — Phishing Setup: Attacker crafts a phishing email appearing to be from KRCS HR, linking to the OneRC_VMMS login with an open redirect parameter (Finding F-08) pointing to an attacker-controlled credential harvester.</w:t>
      </w:r>
    </w:p>
    <w:p>
      <w:pPr>
        <w:pStyle w:val="ListParagraph"/>
        <w:numPr>
          <w:ilvl w:val="0"/>
          <w:numId w:val="2"/>
        </w:numPr>
        <w:spacing w:after="60"/>
      </w:pPr>
      <w:r>
        <w:rPr>
          <w:rFonts w:ascii="Arial" w:cs="Arial" w:eastAsia="Arial" w:hAnsi="Arial"/>
          <w:color w:val="202020"/>
          <w:sz w:val="20"/>
          <w:szCs w:val="20"/>
        </w:rPr>
        <w:t xml:space="preserve">Step 2 — Credential Harvest: Volunteer coordinator clicks the link, is redirected to a fake login page after authenticating, and re-enters credentials. Attacker captures username and password.</w:t>
      </w:r>
    </w:p>
    <w:p>
      <w:pPr>
        <w:pStyle w:val="ListParagraph"/>
        <w:numPr>
          <w:ilvl w:val="0"/>
          <w:numId w:val="2"/>
        </w:numPr>
        <w:spacing w:after="60"/>
      </w:pPr>
      <w:r>
        <w:rPr>
          <w:rFonts w:ascii="Arial" w:cs="Arial" w:eastAsia="Arial" w:hAnsi="Arial"/>
          <w:color w:val="202020"/>
          <w:sz w:val="20"/>
          <w:szCs w:val="20"/>
        </w:rPr>
        <w:t xml:space="preserve">Step 3 — Session Hijacking via Stored XSS: Attacker logs into VMMS with the harvested credentials, uploads a malicious SVG avatar (Finding F-12) containing a JavaScript payload that exfiltrates session tokens of anyone who views the profile.</w:t>
      </w:r>
    </w:p>
    <w:p>
      <w:pPr>
        <w:pStyle w:val="ListParagraph"/>
        <w:numPr>
          <w:ilvl w:val="0"/>
          <w:numId w:val="2"/>
        </w:numPr>
        <w:spacing w:after="60"/>
      </w:pPr>
      <w:r>
        <w:rPr>
          <w:rFonts w:ascii="Arial" w:cs="Arial" w:eastAsia="Arial" w:hAnsi="Arial"/>
          <w:color w:val="202020"/>
          <w:sz w:val="20"/>
          <w:szCs w:val="20"/>
        </w:rPr>
        <w:t xml:space="preserve">Step 4 — Admin Session Takeover: An HR administrator reviewing the volunteer profile has their session token stolen. The attacker uses this token to impersonate the HR admin with no password required.</w:t>
      </w:r>
    </w:p>
    <w:p>
      <w:pPr>
        <w:pStyle w:val="ListParagraph"/>
        <w:numPr>
          <w:ilvl w:val="0"/>
          <w:numId w:val="2"/>
        </w:numPr>
        <w:spacing w:after="60"/>
      </w:pPr>
      <w:r>
        <w:rPr>
          <w:rFonts w:ascii="Arial" w:cs="Arial" w:eastAsia="Arial" w:hAnsi="Arial"/>
          <w:color w:val="202020"/>
          <w:sz w:val="20"/>
          <w:szCs w:val="20"/>
        </w:rPr>
        <w:t xml:space="preserve">Step 5 — SQL Injection: With admin-level access, attacker exploits CVE-2025-30212 (Finding F-07) to run arbitrary SQL queries against the Frappe database, dumping the complete user table and all financial records.</w:t>
      </w:r>
    </w:p>
    <w:p>
      <w:pPr>
        <w:pStyle w:val="ListParagraph"/>
        <w:numPr>
          <w:ilvl w:val="0"/>
          <w:numId w:val="2"/>
        </w:numPr>
        <w:spacing w:after="60"/>
      </w:pPr>
      <w:r>
        <w:rPr>
          <w:rFonts w:ascii="Arial" w:cs="Arial" w:eastAsia="Arial" w:hAnsi="Arial"/>
          <w:color w:val="202020"/>
          <w:sz w:val="20"/>
          <w:szCs w:val="20"/>
        </w:rPr>
        <w:t xml:space="preserve">Step 6 — MPESA Fraud: The Frappe instance is integrated with MPESA (Finding F-15). With database-level access, attacker modifies payment routing records to redirect MPESA transactions intended for volunteers.</w:t>
      </w:r>
    </w:p>
    <w:p>
      <w:pPr>
        <w:pStyle w:val="ListParagraph"/>
        <w:numPr>
          <w:ilvl w:val="0"/>
          <w:numId w:val="2"/>
        </w:numPr>
        <w:spacing w:after="60"/>
      </w:pPr>
      <w:r>
        <w:rPr>
          <w:rFonts w:ascii="Arial" w:cs="Arial" w:eastAsia="Arial" w:hAnsi="Arial"/>
          <w:color w:val="202020"/>
          <w:sz w:val="20"/>
          <w:szCs w:val="20"/>
        </w:rPr>
        <w:t xml:space="preserve">Severity of Chain: High — combines F-08, F-12, F-07, F-15 to target volunteer data and financial transactions.</w:t>
      </w:r>
    </w:p>
    <w:p>
      <w:pPr>
        <w:spacing w:after="80" w:before="80"/>
      </w:pPr>
      <w:r>
        <w:t xml:space="preserve"/>
      </w:r>
    </w:p>
    <w:p>
      <w:pPr>
        <w:pStyle w:val="Heading1"/>
        <w:pageBreakBefore/>
      </w:pPr>
      <w:r>
        <w:rPr>
          <w:rFonts w:ascii="Arial" w:cs="Arial" w:eastAsia="Arial" w:hAnsi="Arial"/>
          <w:b/>
          <w:bCs/>
          <w:color w:val="1F3864"/>
          <w:sz w:val="36"/>
          <w:szCs w:val="36"/>
        </w:rPr>
        <w:t xml:space="preserve">7. Secure Design Recommendations</w:t>
      </w:r>
    </w:p>
    <w:p>
      <w:pPr>
        <w:pStyle w:val="Heading2"/>
        <w:spacing w:after="120" w:before="240"/>
      </w:pPr>
      <w:r>
        <w:rPr>
          <w:rFonts w:ascii="Arial" w:cs="Arial" w:eastAsia="Arial" w:hAnsi="Arial"/>
          <w:b/>
          <w:bCs/>
          <w:color w:val="2E75B6"/>
          <w:sz w:val="28"/>
          <w:szCs w:val="28"/>
        </w:rPr>
        <w:t xml:space="preserve">7.1 Identity &amp; Access Architecture</w:t>
      </w:r>
    </w:p>
    <w:p>
      <w:pPr>
        <w:pStyle w:val="ListParagraph"/>
        <w:numPr>
          <w:ilvl w:val="0"/>
          <w:numId w:val="2"/>
        </w:numPr>
        <w:spacing w:after="60"/>
      </w:pPr>
      <w:r>
        <w:rPr>
          <w:rFonts w:ascii="Arial" w:cs="Arial" w:eastAsia="Arial" w:hAnsi="Arial"/>
          <w:color w:val="202020"/>
          <w:sz w:val="20"/>
          <w:szCs w:val="20"/>
        </w:rPr>
        <w:t xml:space="preserve">Implement a centralised Identity Provider (IdP) — Azure Active Directory is already partially in use for D365 BC. Extend its scope to all cloud-hosted applications (EspoCRM, Frappe, Moodle) using SAML or OIDC federation. This eliminates per-system password management, enables consistent MFA enforcement, and provides a single audit trail for all authentication events.</w:t>
      </w:r>
    </w:p>
    <w:p>
      <w:pPr>
        <w:pStyle w:val="ListParagraph"/>
        <w:numPr>
          <w:ilvl w:val="0"/>
          <w:numId w:val="2"/>
        </w:numPr>
        <w:spacing w:after="60"/>
      </w:pPr>
      <w:r>
        <w:rPr>
          <w:rFonts w:ascii="Arial" w:cs="Arial" w:eastAsia="Arial" w:hAnsi="Arial"/>
          <w:color w:val="202020"/>
          <w:sz w:val="20"/>
          <w:szCs w:val="20"/>
        </w:rPr>
        <w:t xml:space="preserve">Enforce a Zero Trust access model: every system access request should be authenticated, authorised, and encrypted regardless of whether the request originates inside or outside the KRCS network perimeter. This is especially critical given the mix of on-premises (NAV, EOC System) and cloud-hosted systems in the portfolio.</w:t>
      </w:r>
    </w:p>
    <w:p>
      <w:pPr>
        <w:pStyle w:val="ListParagraph"/>
        <w:numPr>
          <w:ilvl w:val="0"/>
          <w:numId w:val="2"/>
        </w:numPr>
        <w:spacing w:after="60"/>
      </w:pPr>
      <w:r>
        <w:rPr>
          <w:rFonts w:ascii="Arial" w:cs="Arial" w:eastAsia="Arial" w:hAnsi="Arial"/>
          <w:color w:val="202020"/>
          <w:sz w:val="20"/>
          <w:szCs w:val="20"/>
        </w:rPr>
        <w:t xml:space="preserve">Implement a Privileged Access Workstation (PAW) policy for all administration of on-premises servers — NAV 2016, D365 BC SQL Server, Proxmox hypervisor. Administrative access should only be possible from a dedicated, hardened workstation with MFA.</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7.2 Patch &amp; Vulnerability Management</w:t>
      </w:r>
    </w:p>
    <w:p>
      <w:pPr>
        <w:pStyle w:val="ListParagraph"/>
        <w:numPr>
          <w:ilvl w:val="0"/>
          <w:numId w:val="2"/>
        </w:numPr>
        <w:spacing w:after="60"/>
      </w:pPr>
      <w:r>
        <w:rPr>
          <w:rFonts w:ascii="Arial" w:cs="Arial" w:eastAsia="Arial" w:hAnsi="Arial"/>
          <w:color w:val="202020"/>
          <w:sz w:val="20"/>
          <w:szCs w:val="20"/>
        </w:rPr>
        <w:t xml:space="preserve">Establish a formal patch management cadence: Critical patches within 72 hours of vendor release, High within 14 days, Medium within 30 days, Low within 90 days. Assign patch management responsibility to named system owners and track compliance in the asset inventory.</w:t>
      </w:r>
    </w:p>
    <w:p>
      <w:pPr>
        <w:pStyle w:val="ListParagraph"/>
        <w:numPr>
          <w:ilvl w:val="0"/>
          <w:numId w:val="2"/>
        </w:numPr>
        <w:spacing w:after="60"/>
      </w:pPr>
      <w:r>
        <w:rPr>
          <w:rFonts w:ascii="Arial" w:cs="Arial" w:eastAsia="Arial" w:hAnsi="Arial"/>
          <w:color w:val="202020"/>
          <w:sz w:val="20"/>
          <w:szCs w:val="20"/>
        </w:rPr>
        <w:t xml:space="preserve">Maintain a running Software Bill of Materials (SBOM) for all KRCS-developed systems (Django, PHP, NodeJS, Flutter applications). This enables rapid identification of systems affected when a new CVE is published for a dependency.</w:t>
      </w:r>
    </w:p>
    <w:p>
      <w:pPr>
        <w:pStyle w:val="ListParagraph"/>
        <w:numPr>
          <w:ilvl w:val="0"/>
          <w:numId w:val="2"/>
        </w:numPr>
        <w:spacing w:after="60"/>
      </w:pPr>
      <w:r>
        <w:rPr>
          <w:rFonts w:ascii="Arial" w:cs="Arial" w:eastAsia="Arial" w:hAnsi="Arial"/>
          <w:color w:val="202020"/>
          <w:sz w:val="20"/>
          <w:szCs w:val="20"/>
        </w:rPr>
        <w:t xml:space="preserve">The NAV 2016 decommission should be treated as a P0 priority — not a planned migration — given that the EOL date has already passed. Establish a board-level deadline within 90 days.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7.3 Data Security Architecture</w:t>
      </w:r>
    </w:p>
    <w:p>
      <w:pPr>
        <w:pStyle w:val="ListParagraph"/>
        <w:numPr>
          <w:ilvl w:val="0"/>
          <w:numId w:val="2"/>
        </w:numPr>
        <w:spacing w:after="60"/>
      </w:pPr>
      <w:r>
        <w:rPr>
          <w:rFonts w:ascii="Arial" w:cs="Arial" w:eastAsia="Arial" w:hAnsi="Arial"/>
          <w:color w:val="202020"/>
          <w:sz w:val="20"/>
          <w:szCs w:val="20"/>
        </w:rPr>
        <w:t xml:space="preserve">Implement a Data Classification Policy that assigns every system in the asset inventory a formal confidentiality tier (Public / Internal / Restricted / Secret). This is a prerequisite for proportionate security investment and KDPA 2019 compliance.</w:t>
      </w:r>
    </w:p>
    <w:p>
      <w:pPr>
        <w:pStyle w:val="ListParagraph"/>
        <w:numPr>
          <w:ilvl w:val="0"/>
          <w:numId w:val="2"/>
        </w:numPr>
        <w:spacing w:after="60"/>
      </w:pPr>
      <w:r>
        <w:rPr>
          <w:rFonts w:ascii="Arial" w:cs="Arial" w:eastAsia="Arial" w:hAnsi="Arial"/>
          <w:color w:val="202020"/>
          <w:sz w:val="20"/>
          <w:szCs w:val="20"/>
        </w:rPr>
        <w:t xml:space="preserve">Enable Transparent Data Encryption (TDE) on all SQL Server databases (NAV 2016 and D365 BC as a minimum). Extend encryption at rest requirements to all cloud-hosted databases — AWS RDS encryption and Azure SQL TDE are zero-cost, non-disruptive options.</w:t>
      </w:r>
    </w:p>
    <w:p>
      <w:pPr>
        <w:pStyle w:val="ListParagraph"/>
        <w:numPr>
          <w:ilvl w:val="0"/>
          <w:numId w:val="2"/>
        </w:numPr>
        <w:spacing w:after="60"/>
      </w:pPr>
      <w:r>
        <w:rPr>
          <w:rFonts w:ascii="Arial" w:cs="Arial" w:eastAsia="Arial" w:hAnsi="Arial"/>
          <w:color w:val="202020"/>
          <w:sz w:val="20"/>
          <w:szCs w:val="20"/>
        </w:rPr>
        <w:t xml:space="preserve">Implement a secrets management solution for all KRCS-developed applications. HashiCorp Vault (self-hosted) or AWS Secrets Manager (for AWS-hosted apps) should replace all hardcoded credentials and plaintext .config file passwords. This single change eliminates F-02 and significantly reduces the risk surface for F-20 (MPESA integration).</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7.4 Monitoring &amp; Incident Response</w:t>
      </w:r>
    </w:p>
    <w:p>
      <w:pPr>
        <w:pStyle w:val="ListParagraph"/>
        <w:numPr>
          <w:ilvl w:val="0"/>
          <w:numId w:val="2"/>
        </w:numPr>
        <w:spacing w:after="60"/>
      </w:pPr>
      <w:r>
        <w:rPr>
          <w:rFonts w:ascii="Arial" w:cs="Arial" w:eastAsia="Arial" w:hAnsi="Arial"/>
          <w:color w:val="202020"/>
          <w:sz w:val="20"/>
          <w:szCs w:val="20"/>
        </w:rPr>
        <w:t xml:space="preserve">Deploy centralised log aggregation for all systems. Wazuh (open source SIEM, already referenced in the asset inventory template) is a suitable solution for both on-premises and cloud-hosted systems and can be deployed on an AWS EC2 instance to collect logs from all KRCS cloud workloads. Define a minimum 90-day log retention period.</w:t>
      </w:r>
    </w:p>
    <w:p>
      <w:pPr>
        <w:pStyle w:val="ListParagraph"/>
        <w:numPr>
          <w:ilvl w:val="0"/>
          <w:numId w:val="2"/>
        </w:numPr>
        <w:spacing w:after="60"/>
      </w:pPr>
      <w:r>
        <w:rPr>
          <w:rFonts w:ascii="Arial" w:cs="Arial" w:eastAsia="Arial" w:hAnsi="Arial"/>
          <w:color w:val="202020"/>
          <w:sz w:val="20"/>
          <w:szCs w:val="20"/>
        </w:rPr>
        <w:t xml:space="preserve">Define and test an Incident Response Plan specific to digital systems, with clear escalation paths, communication templates (including KRCS donor notification procedures for USAID/UN/EU-funded systems), and a breach notification process that meets KDPA 2019 Article 43 (72-hour notification to the Office of the Data Protection Commissioner).</w:t>
      </w:r>
    </w:p>
    <w:p>
      <w:pPr>
        <w:pStyle w:val="ListParagraph"/>
        <w:numPr>
          <w:ilvl w:val="0"/>
          <w:numId w:val="2"/>
        </w:numPr>
        <w:spacing w:after="60"/>
      </w:pPr>
      <w:r>
        <w:rPr>
          <w:rFonts w:ascii="Arial" w:cs="Arial" w:eastAsia="Arial" w:hAnsi="Arial"/>
          <w:color w:val="202020"/>
          <w:sz w:val="20"/>
          <w:szCs w:val="20"/>
        </w:rPr>
        <w:t xml:space="preserve">Implement automated vulnerability scanning on a monthly cadence for all public-facing web applications. WPScan (for WordPress) and OWASP ZAP (for API endpoints) can be integrated into a basic CI/CD pipeline or run as scheduled scans.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7.5 Legacy System Governance</w:t>
      </w:r>
    </w:p>
    <w:p>
      <w:pPr>
        <w:pStyle w:val="ListParagraph"/>
        <w:numPr>
          <w:ilvl w:val="0"/>
          <w:numId w:val="2"/>
        </w:numPr>
        <w:spacing w:after="60"/>
      </w:pPr>
      <w:r>
        <w:rPr>
          <w:rFonts w:ascii="Arial" w:cs="Arial" w:eastAsia="Arial" w:hAnsi="Arial"/>
          <w:color w:val="202020"/>
          <w:sz w:val="20"/>
          <w:szCs w:val="20"/>
        </w:rPr>
        <w:t xml:space="preserve">Establish a formal Application Lifecycle Management (ALM) policy that requires every system to have a named owner, a defined end-of-support date, and a documented decommission plan. No system should reach end-of-life status without a pre-approved successor or formal risk acceptance by senior management.</w:t>
      </w:r>
    </w:p>
    <w:p>
      <w:pPr>
        <w:pStyle w:val="ListParagraph"/>
        <w:numPr>
          <w:ilvl w:val="0"/>
          <w:numId w:val="2"/>
        </w:numPr>
        <w:spacing w:after="60"/>
      </w:pPr>
      <w:r>
        <w:rPr>
          <w:rFonts w:ascii="Arial" w:cs="Arial" w:eastAsia="Arial" w:hAnsi="Arial"/>
          <w:color w:val="202020"/>
          <w:sz w:val="20"/>
          <w:szCs w:val="20"/>
        </w:rPr>
        <w:t xml:space="preserve">The ten legacy/retired systems currently occupying active cloud infrastructure represent both a security risk and unnecessary cost. Conduct a cloud cost audit alongside the security decommission exercise — the cloud spend on unused instances is likely material.</w:t>
      </w:r>
    </w:p>
    <w:p>
      <w:pPr>
        <w:pStyle w:val="ListParagraph"/>
        <w:numPr>
          <w:ilvl w:val="0"/>
          <w:numId w:val="2"/>
        </w:numPr>
        <w:spacing w:after="60"/>
      </w:pPr>
      <w:r>
        <w:rPr>
          <w:rFonts w:ascii="Arial" w:cs="Arial" w:eastAsia="Arial" w:hAnsi="Arial"/>
          <w:color w:val="202020"/>
          <w:sz w:val="20"/>
          <w:szCs w:val="20"/>
        </w:rPr>
        <w:t xml:space="preserve">For any system classified as 'Legacy (still referenced)' where decommission is not immediately possible, implement strict network isolation: dedicated VLAN or security group, no outbound internet access, enhanced logging, and a formal risk acceptance sign-off renewed every six months.</w:t>
      </w:r>
    </w:p>
    <w:p>
      <w:pPr>
        <w:pStyle w:val="Heading1"/>
        <w:pageBreakBefore/>
      </w:pPr>
      <w:r>
        <w:rPr>
          <w:rFonts w:ascii="Arial" w:cs="Arial" w:eastAsia="Arial" w:hAnsi="Arial"/>
          <w:b/>
          <w:bCs/>
          <w:color w:val="1F3864"/>
          <w:sz w:val="36"/>
          <w:szCs w:val="36"/>
        </w:rPr>
        <w:t xml:space="preserve">8. Conclusion</w:t>
      </w:r>
    </w:p>
    <w:p>
      <w:pPr>
        <w:spacing w:after="120"/>
      </w:pPr>
      <w:r>
        <w:rPr>
          <w:rFonts w:ascii="Arial" w:cs="Arial" w:eastAsia="Arial" w:hAnsi="Arial"/>
          <w:color w:val="202020"/>
          <w:sz w:val="20"/>
          <w:szCs w:val="20"/>
        </w:rPr>
        <w:t xml:space="preserve">The KRCS digital portfolio presents a significant and growing security risk profile. The combination of end-of-life systems in active production, absent MFA across financial platforms, exposed authentication endpoints on public websites, and unpatched vulnerabilities across cloud-hosted application platforms creates multiple viable paths for an attacker to achieve a material compromise — including financial fraud via ERP access, beneficiary data exfiltration through the EspoCRM cluster, and website defacement or malware injection across the public web estate.</w:t>
      </w:r>
    </w:p>
    <w:p>
      <w:pPr>
        <w:spacing w:after="120"/>
      </w:pPr>
      <w:r>
        <w:rPr>
          <w:rFonts w:ascii="Arial" w:cs="Arial" w:eastAsia="Arial" w:hAnsi="Arial"/>
          <w:color w:val="202020"/>
          <w:sz w:val="20"/>
          <w:szCs w:val="20"/>
        </w:rPr>
        <w:t xml:space="preserve">The three attack chains identified in this report are not theoretical. Each step in every chain exploits a documented, verified vulnerability in a currently deployed KRCS system. A motivated attacker — whether an opportunistic cybercriminal, a targeted advanced persistent threat, or a malicious insider — has the tools and knowledge available today to execute these chains.</w:t>
      </w:r>
    </w:p>
    <w:p>
      <w:pPr>
        <w:spacing w:after="120"/>
      </w:pPr>
      <w:r>
        <w:rPr>
          <w:rFonts w:ascii="Arial" w:cs="Arial" w:eastAsia="Arial" w:hAnsi="Arial"/>
          <w:color w:val="202020"/>
          <w:sz w:val="20"/>
          <w:szCs w:val="20"/>
        </w:rPr>
        <w:t xml:space="preserve">The good news is that the remediation actions required to break these chains are largely straightforward and low-cost: disabling xmlrpc.php, upgrading EspoCRM, rotating NAV credentials, and enforcing MFA. The organisation does not need significant new investment to address the most urgent risks — it needs disciplined execution of existing security practices.</w:t>
      </w:r>
    </w:p>
    <w:p>
      <w:pPr>
        <w:spacing w:after="120"/>
      </w:pPr>
      <w:r>
        <w:rPr>
          <w:rFonts w:ascii="Arial" w:cs="Arial" w:eastAsia="Arial" w:hAnsi="Arial"/>
          <w:color w:val="202020"/>
          <w:sz w:val="20"/>
          <w:szCs w:val="20"/>
        </w:rPr>
        <w:t xml:space="preserve">Management is requested to review these findings, confirm ownership of each remediation action, and provide formal responses within 10 working days. Critical and High findings should be escalated to the Audit and Risk Committee in the next scheduled board pack.</w:t>
      </w:r>
    </w:p>
    <w:p>
      <w:pP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Prepared By</w:t>
            </w:r>
          </w:p>
        </w:tc>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Reviewed By</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Fred Ouma
CISA, CISM, CPA(K), ISO 27001 Lead Auditor
Internal Audit — ICT &amp; Digital Solutions
April 22, 2026</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_______________________
Date: ___________________</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707070"/>
        <w:sz w:val="16"/>
        <w:szCs w:val="16"/>
      </w:rPr>
      <w:t xml:space="preserve">Page </w:t>
    </w:r>
    <w:r>
      <w:rPr>
        <w:rFonts w:ascii="Arial" w:cs="Arial" w:eastAsia="Arial" w:hAnsi="Arial"/>
        <w:color w:val="707070"/>
        <w:sz w:val="16"/>
        <w:szCs w:val="16"/>
      </w:rPr>
      <w:fldChar w:fldCharType="begin"/>
      <w:instrText xml:space="preserve">PAGE</w:instrText>
      <w:fldChar w:fldCharType="separate"/>
      <w:fldChar w:fldCharType="end"/>
    </w:r>
    <w:r>
      <w:rPr>
        <w:rFonts w:ascii="Arial" w:cs="Arial" w:eastAsia="Arial" w:hAnsi="Arial"/>
        <w:color w:val="707070"/>
        <w:sz w:val="16"/>
        <w:szCs w:val="16"/>
      </w:rPr>
      <w:t xml:space="preserve"> of </w:t>
    </w:r>
    <w:r>
      <w:rPr>
        <w:rFonts w:ascii="Arial" w:cs="Arial" w:eastAsia="Arial" w:hAnsi="Arial"/>
        <w:color w:val="7070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05050"/>
        <w:sz w:val="16"/>
        <w:szCs w:val="16"/>
      </w:rPr>
      <w:t xml:space="preserve">KRCS — Adversarial Security Assessment 2026</w:t>
    </w:r>
    <w:r>
      <w:rPr>
        <w:rFonts w:ascii="Arial" w:cs="Arial" w:eastAsia="Arial" w:hAnsi="Arial"/>
        <w:b/>
        <w:bCs/>
        <w:color w:val="C00000"/>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2026-04-22T14:37:17.918Z</dcterms:created>
  <dcterms:modified xsi:type="dcterms:W3CDTF">2026-04-22T14:37:17.919Z</dcterms:modified>
</cp:coreProperties>
</file>

<file path=docProps/custom.xml><?xml version="1.0" encoding="utf-8"?>
<Properties xmlns="http://schemas.openxmlformats.org/officeDocument/2006/custom-properties" xmlns:vt="http://schemas.openxmlformats.org/officeDocument/2006/docPropsVTypes"/>
</file>