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Generated by Windward Reports version 15.34.0.90 (java), jvm: 1.8. os: Linux, osver: 5.10.248-247.988.amzn2.x86_64-->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body>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ff" w:lastRow="off" w:firstColumn="off" w:lastColumn="off" w:noHBand="on" w:noVBand="on"/>
      </w:tblPr>
      <w:tblGrid>
        <w:gridCol w:w="14391"/>
      </w:tblGrid>
      <w:tr>
        <w:trPr>
          <w:trHeight w:val="5669" w:hRule="atLeast"/>
        </w:trPr>
        <w:tc>
          <w:tcPr>
            <w:tcW w:w="5000" w:type="pct"/>
            <w:shd w:val="clear" w:color="auto" w:fill="auto"/>
            <w:vAlign w:val="bottom"/>
          </w:tcPr>
          <w:p>
            <w:pPr>
              <w:pStyle w:val="PageHeading"/>
              <w:rPr>
                <w:color w:val="FFFFFF" w:themeColor="background1"/>
                <w:sz w:val="90"/>
                <w:szCs w:val="90"/>
              </w:rPr>
            </w:pPr>
            <w:bookmarkStart w:id="0" w:name="_Toc286157146"/>
            <w:r>
              <w:rPr>
                <w:color w:val="FFFFFF" w:themeColor="background1"/>
                <w:sz w:val="90"/>
                <w:szCs w:val="90"/>
              </w:rPr>
              <w:t xml:space="preserve">Central Region Spot Check (2nd Round) Report</w:t>
            </w:r>
            <w:bookmarkEnd w:id="0"/>
          </w:p>
          <w:p>
            <w:pPr>
              <w:rPr/>
            </w:pPr>
          </w:p>
        </w:tc>
      </w:tr>
      <w:tr>
        <w:trPr>
          <w:trHeight w:val="2835" w:hRule="atLeast"/>
        </w:trPr>
        <w:tc>
          <w:tcPr>
            <w:tcW w:w="5000" w:type="pct"/>
            <w:shd w:val="clear" w:color="auto" w:fill="FFFFFF" w:themeFill="background1"/>
            <w:vAlign w:val="center"/>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firstRow="off" w:lastRow="off" w:firstColumn="off" w:lastColumn="off" w:noHBand="on" w:noVBand="on"/>
            </w:tblPr>
            <w:tblGrid>
              <w:gridCol w:w="4484"/>
              <w:gridCol w:w="4756"/>
              <w:gridCol w:w="4935"/>
            </w:tblGrid>
            <w:tr>
              <w:trPr>
                <w:cantSplit w:val="on"/>
                <w:trHeight w:val="1147" w:hRule="atLeast"/>
              </w:trPr>
              <w:tc>
                <w:tcPr>
                  <w:tcW w:w="1582" w:type="pct"/>
                  <w:vAlign w:val="center"/>
                </w:tcPr>
                <w:p>
                  <w:pPr>
                    <w:jc w:val="center"/>
                    <w:rPr/>
                  </w:pPr>
                  <w:r>
                    <w:drawing>
                      <wp:inline distT="0" distB="0" distL="0" distR="0">
                        <wp:extent cx="725170" cy="725170"/>
                        <wp:effectExtent l="0" t="0" r="11430" b="11430"/>
                        <wp:docPr id="4" name="OpinionPencil.png" descr="OpinionPencil.png"/>
                        <a:graphic xmlns:a="http://schemas.openxmlformats.org/drawingml/2006/main">
                          <a:graphicData uri="http://schemas.openxmlformats.org/drawingml/2006/picture">
                            <pic:pic xmlns:pic="http://schemas.openxmlformats.org/drawingml/2006/picture">
                              <pic:nvPicPr>
                                <pic:cNvPr id="1" name="OpinionPencil.png"/>
                                <pic:cNvPicPr/>
                              </pic:nvPicPr>
                              <pic:blipFill>
                                <a:blip r:embed="rId1"/>
                                <a:stretch>
                                  <a:fillRect/>
                                </a:stretch>
                              </pic:blipFill>
                              <pic:spPr xmlns:pic="http://schemas.openxmlformats.org/drawingml/2006/picture">
                                <a:xfrm xmlns:a="http://schemas.openxmlformats.org/drawingml/2006/main">
                                  <a:off x="0" y="0"/>
                                  <a:ext cx="725170" cy="725170"/>
                                </a:xfrm>
                                <a:prstGeom xmlns:a="http://schemas.openxmlformats.org/drawingml/2006/main" prst="rect">
                                  <a:avLst/>
                                </a:prstGeom>
                              </pic:spPr>
                            </pic:pic>
                          </a:graphicData>
                        </a:graphic>
                      </wp:inline>
                    </w:drawing>
                  </w:r>
                </w:p>
              </w:tc>
              <w:tc>
                <w:tcPr>
                  <w:tcW w:w="1678" w:type="pct"/>
                  <w:vAlign w:val="center"/>
                </w:tcPr>
                <w:p>
                  <w:pPr>
                    <w:jc w:val="center"/>
                    <w:rPr/>
                  </w:pPr>
                  <w:r>
                    <w:drawing>
                      <wp:inline distT="0" distB="0" distL="0" distR="0">
                        <wp:extent cx="719455" cy="725170"/>
                        <wp:effectExtent l="0" t="0" r="0" b="11430"/>
                        <wp:docPr id="5" name="CalnedarStart.png" descr="CalnedarStart.png"/>
                        <a:graphic xmlns:a="http://schemas.openxmlformats.org/drawingml/2006/main">
                          <a:graphicData uri="http://schemas.openxmlformats.org/drawingml/2006/picture">
                            <pic:pic xmlns:pic="http://schemas.openxmlformats.org/drawingml/2006/picture">
                              <pic:nvPicPr>
                                <pic:cNvPr id="2" name="CalnedarStart.png"/>
                                <pic:cNvPicPr/>
                              </pic:nvPicPr>
                              <pic:blipFill>
                                <a:blip r:embed="rId2"/>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c>
                <w:tcPr>
                  <w:tcW w:w="1741" w:type="pct"/>
                  <w:vAlign w:val="center"/>
                </w:tcPr>
                <w:p>
                  <w:pPr>
                    <w:jc w:val="center"/>
                    <w:rPr/>
                  </w:pPr>
                  <w:r>
                    <w:drawing>
                      <wp:inline distT="0" distB="0" distL="0" distR="0">
                        <wp:extent cx="719455" cy="725170"/>
                        <wp:effectExtent l="0" t="0" r="0" b="11430"/>
                        <wp:docPr id="6" name="CalendarEnd.png" descr="CalendarEnd.png"/>
                        <a:graphic xmlns:a="http://schemas.openxmlformats.org/drawingml/2006/main">
                          <a:graphicData uri="http://schemas.openxmlformats.org/drawingml/2006/picture">
                            <pic:pic xmlns:pic="http://schemas.openxmlformats.org/drawingml/2006/picture">
                              <pic:nvPicPr>
                                <pic:cNvPr id="3" name="CalendarEnd.png"/>
                                <pic:cNvPicPr/>
                              </pic:nvPicPr>
                              <pic:blipFill>
                                <a:blip r:embed="rId3"/>
                                <a:stretch>
                                  <a:fillRect/>
                                </a:stretch>
                              </pic:blipFill>
                              <pic:spPr xmlns:pic="http://schemas.openxmlformats.org/drawingml/2006/picture">
                                <a:xfrm xmlns:a="http://schemas.openxmlformats.org/drawingml/2006/main">
                                  <a:off x="0" y="0"/>
                                  <a:ext cx="719455" cy="725170"/>
                                </a:xfrm>
                                <a:prstGeom xmlns:a="http://schemas.openxmlformats.org/drawingml/2006/main" prst="rect">
                                  <a:avLst/>
                                </a:prstGeom>
                              </pic:spPr>
                            </pic:pic>
                          </a:graphicData>
                        </a:graphic>
                      </wp:inline>
                    </w:drawing>
                  </w:r>
                </w:p>
              </w:tc>
            </w:tr>
            <w:tr>
              <w:trPr>
                <w:cantSplit w:val="on"/>
                <w:trHeight w:val="467" w:hRule="atLeast"/>
              </w:trPr>
              <w:tc>
                <w:tcPr>
                  <w:tcW w:w="1582" w:type="pct"/>
                  <w:tcBorders>
                    <w:bottom w:val="single" w:sz="6" w:space="0" w:color="B2BCF6"/>
                  </w:tcBorders>
                </w:tcPr>
                <w:p>
                  <w:pPr>
                    <w:pStyle w:val="TableParagraph"/>
                    <w:spacing w:before="120" w:after="120"/>
                    <w:jc w:val="center"/>
                    <w:rPr>
                      <w:rFonts w:ascii="Calibri" w:hAnsi="Calibri"/>
                      <w:b w:val="on"/>
                      <w:color w:val="53529F"/>
                      <w:sz w:val="24"/>
                      <w:szCs w:val="24"/>
                    </w:rPr>
                  </w:pPr>
                  <w:r>
                    <w:rPr>
                      <w:rFonts w:ascii="Calibri" w:hAnsi="Calibri"/>
                      <w:b w:val="on"/>
                      <w:color w:val="53529F"/>
                      <w:sz w:val="24"/>
                      <w:szCs w:val="24"/>
                    </w:rPr>
                    <w:t xml:space="preserve">Conclusion/Rating</w:t>
                  </w:r>
                </w:p>
              </w:tc>
              <w:tc>
                <w:tcPr>
                  <w:tcW w:w="1678" w:type="pct"/>
                  <w:tcBorders>
                    <w:bottom w:val="single" w:sz="6" w:space="0" w:color="B2BCF6"/>
                  </w:tcBorders>
                </w:tcPr>
                <w:p>
                  <w:pPr>
                    <w:pStyle w:val="TableParagraph"/>
                    <w:tabs>
                      <w:tab w:val="decimal" w:leader="none" w:pos="2493"/>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Fieldwork Start Date</w:t>
                  </w:r>
                </w:p>
              </w:tc>
              <w:tc>
                <w:tcPr>
                  <w:tcW w:w="1741" w:type="pct"/>
                  <w:tcBorders>
                    <w:bottom w:val="single" w:sz="6" w:space="0" w:color="B2BCF6"/>
                  </w:tcBorders>
                </w:tcPr>
                <w:p>
                  <w:pPr>
                    <w:pStyle w:val="TableParagraph"/>
                    <w:tabs>
                      <w:tab w:val="left" w:leader="none" w:pos="4686"/>
                    </w:tabs>
                    <w:spacing w:before="120" w:after="120"/>
                    <w:jc w:val="center"/>
                    <w:rPr>
                      <w:rFonts w:ascii="Calibri" w:hAnsi="Calibri"/>
                      <w:b w:val="on"/>
                      <w:color w:val="53529F"/>
                      <w:sz w:val="24"/>
                      <w:szCs w:val="24"/>
                    </w:rPr>
                  </w:pPr>
                  <w:r>
                    <w:rPr>
                      <w:rFonts w:ascii="Calibri" w:hAnsi="Calibri"/>
                      <w:b w:val="on"/>
                      <w:color w:val="53529F"/>
                      <w:sz w:val="24"/>
                      <w:szCs w:val="24"/>
                    </w:rPr>
                    <w:t xml:space="preserve">Audit Target Completion</w:t>
                  </w:r>
                </w:p>
              </w:tc>
            </w:tr>
            <w:tr>
              <w:trPr>
                <w:cantSplit w:val="on"/>
                <w:trHeight w:val="467" w:hRule="atLeast"/>
              </w:trPr>
              <w:tc>
                <w:tcPr>
                  <w:tcW w:w="1582" w:type="pct"/>
                  <w:tcBorders>
                    <w:top w:val="single" w:sz="6" w:space="0" w:color="B2BCF6"/>
                  </w:tcBorders>
                  <w:vAlign w:val="center"/>
                </w:tcPr>
                <w:p>
                  <w:pPr>
                    <w:pStyle w:val="TableParagraph"/>
                    <w:spacing w:before="120" w:after="120"/>
                    <w:ind w:left="1244" w:right="1176"/>
                    <w:jc w:val="center"/>
                    <w:rPr>
                      <w:rFonts w:ascii="Calibri" w:hAnsi="Calibri"/>
                      <w:color w:val="070F13" w:themeColor="text1"/>
                      <w:sz w:val="24"/>
                      <w:szCs w:val="24"/>
                    </w:rPr>
                  </w:pPr>
                  <w:r>
                    <w:rPr>
                      <w:rFonts w:ascii="Calibri" w:hAnsi="Calibri"/>
                      <w:color w:val="070F13" w:themeColor="text1"/>
                      <w:sz w:val="24"/>
                      <w:szCs w:val="24"/>
                    </w:rPr>
                    <w:t xml:space="preserve">Needs Improvement</w:t>
                  </w:r>
                </w:p>
              </w:tc>
              <w:tc>
                <w:tcPr>
                  <w:tcW w:w="1678"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November  3, 2025</w:t>
                  </w:r>
                </w:p>
              </w:tc>
              <w:tc>
                <w:tcPr>
                  <w:tcW w:w="1741" w:type="pct"/>
                  <w:tcBorders>
                    <w:top w:val="single" w:sz="6" w:space="0" w:color="B2BCF6"/>
                  </w:tcBorders>
                  <w:vAlign w:val="center"/>
                </w:tcPr>
                <w:p>
                  <w:pPr>
                    <w:pStyle w:val="TableParagraph"/>
                    <w:spacing w:before="120" w:after="120"/>
                    <w:ind w:left="1154" w:right="1129"/>
                    <w:jc w:val="center"/>
                    <w:rPr>
                      <w:rFonts w:ascii="Calibri" w:hAnsi="Calibri"/>
                      <w:color w:val="070F13" w:themeColor="text1"/>
                      <w:sz w:val="24"/>
                      <w:szCs w:val="24"/>
                    </w:rPr>
                  </w:pPr>
                  <w:r>
                    <w:rPr>
                      <w:rFonts w:ascii="Calibri" w:hAnsi="Calibri"/>
                      <w:color w:val="070F13" w:themeColor="text1"/>
                      <w:sz w:val="24"/>
                      <w:szCs w:val="24"/>
                    </w:rPr>
                    <w:t xml:space="preserve">November 12, 2025</w:t>
                  </w:r>
                </w:p>
              </w:tc>
            </w:tr>
          </w:tbl>
          <w:p>
            <w:pPr>
              <w:jc w:val="center"/>
              <w:rPr/>
            </w:pPr>
          </w:p>
        </w:tc>
      </w:tr>
      <w:tr>
        <w:trPr>
          <w:trHeight w:val="1701" w:hRule="atLeast"/>
        </w:trPr>
        <w:tc>
          <w:tcPr>
            <w:tcW w:w="5000" w:type="pct"/>
          </w:tcPr>
          <w:p>
            <w:pPr>
              <w:rPr/>
            </w:pPr>
          </w:p>
        </w:tc>
      </w:tr>
    </w:tbl>
    <w:p>
      <w:pPr>
        <w:rPr>
          <w:sz w:val="20"/>
        </w:rPr>
        <w:sectPr>
          <w:headerReference w:type="default" r:id="rId13"/>
          <w:headerReference w:type="first" r:id="rId14"/>
          <w:headerReference w:type="even" r:id="rId15"/>
          <w:footerReference w:type="default" r:id="rId16"/>
          <w:footerReference w:type="first" r:id="rId17"/>
          <w:footerReference w:type="even" r:id="rId18"/>
          <w:type w:val="continuous"/>
          <w:pgSz w:w="15840" w:h="12240" w:orient="landscape"/>
          <w:pgMar w:top="720" w:right="720" w:bottom="720" w:left="720" w:header="397" w:footer="397" w:gutter="0"/>
          <w:pgNumType w:start="1"/>
          <w:pgNumType w:start="1"/>
          <w:cols w:space="720"/>
          <w:textDirection w:val="lrTb"/>
          <w:bidi w:val="off"/>
        </w:sectPr>
      </w:pPr>
    </w:p>
    <w:p>
      <w:pPr>
        <w:pStyle w:val="BodyText"/>
        <w:rPr>
          <w:rFonts w:ascii="Times"/>
          <w:b w:val="off"/>
        </w:rPr>
      </w:pPr>
      <w:r>
        <w:drawing>
          <wp:anchor distT="0" distB="0" distL="114300" distR="114300" simplePos="0" relativeHeight="6144" behindDoc="1" layoutInCell="1" allowOverlap="1" locked="0">
            <wp:simplePos x="0" y="0"/>
            <wp:positionH relativeFrom="page">
              <wp:posOffset>485775</wp:posOffset>
            </wp:positionH>
            <wp:positionV relativeFrom="page">
              <wp:posOffset>327660</wp:posOffset>
            </wp:positionV>
            <wp:extent cx="9165590" cy="464185"/>
            <wp:effectExtent l="0" t="0" r="16510" b="12065"/>
            <wp:wrapNone/>
            <wp:docPr id="7" name="Shape 7"/>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16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BodyText"/>
                          <w:rPr>
                            <w:rFonts w:asciiTheme="minorHAnsi" w:hAnsiTheme="minorHAnsi"/>
                            <w:b w:val="off"/>
                            <w:color w:val="53529F"/>
                            <w:sz w:val="56"/>
                            <w:szCs w:val="56"/>
                          </w:rPr>
                        </w:pPr>
                        <w:r>
                          <w:rPr>
                            <w:rFonts w:asciiTheme="minorHAnsi" w:hAnsiTheme="minorHAnsi"/>
                            <w:b w:val="off"/>
                            <w:color w:val="53529F"/>
                            <w:sz w:val="56"/>
                            <w:szCs w:val="56"/>
                          </w:rPr>
                          <w:t xml:space="preserve">Table of Contents</w:t>
                        </w:r>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1264" behindDoc="0" layoutInCell="1" allowOverlap="1" locked="0">
                <wp:simplePos x="0" y="0"/>
                <wp:positionH relativeFrom="page">
                  <wp:posOffset>457200</wp:posOffset>
                </wp:positionH>
                <wp:positionV relativeFrom="page">
                  <wp:posOffset>267335</wp:posOffset>
                </wp:positionV>
                <wp:extent cx="9117330" cy="572135"/>
                <wp:effectExtent l="0" t="0" r="7620" b="19050"/>
                <wp:wrapNone/>
                <wp:docPr id="8" name="Group 8"/>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7584" cy="572082"/>
                          <a:chOff x="2144" y="360"/>
                          <a:chExt cx="11536" cy="1138"/>
                        </a:xfrm>
                      </wpg:grpSpPr>
                      <wps:wsp>
                        <wps:cNvPr xmlns:wps="http://schemas.microsoft.com/office/word/2010/wordprocessingShape" id="11"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12"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291DCE90" id="Group 10" o:spid="_x0000_s1026" style="position:absolute;margin-left:36pt;margin-top:21.05pt;width:717.9pt;height:45.05pt;z-index:251702272;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1sttMAAAADbAAAADwAAAGRycy9kb3ducmV2LnhtbERPTYvCMBC9C/sfwix409Q9iHaNIksL&#10;3sSqu3scmrGtNpPSRFv/vREEb/N4n7NY9aYWN2pdZVnBZByBIM6trrhQcNinoxkI55E11pZJwZ0c&#10;rJYfgwXG2na8o1vmCxFC2MWooPS+iaV0eUkG3dg2xIE72dagD7AtpG6xC+Gmll9RNJUGKw4NJTb0&#10;U1J+ya5Gwfn3uOu2Sdp3d5Mm/wn9ZfMtKzX87NffIDz1/i1+uTc6zJ/A85dwgFw+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9bLbTAAAAA2wAAAA8AAAAAAAAAAAAAAAAA&#10;oQIAAGRycy9kb3ducmV2LnhtbFBLBQYAAAAABAAEAPkAAACO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9R/8EAAADbAAAADwAAAGRycy9kb3ducmV2LnhtbERPTWvCQBC9F/wPyxS81Y1STRuzEQkU&#10;vEltDx6H7JiEZmdDdmMSf70rFLzN431OuhtNI67UudqyguUiAkFcWF1zqeD35+vtA4TzyBoby6Rg&#10;Ige7bPaSYqLtwN90PflShBB2CSqovG8TKV1RkUG3sC1x4C62M+gD7EqpOxxCuGnkKoo20mDNoaHC&#10;lvKKir9TbxTk07pfcvz53tzON2fPrj7Gfa7U/HXcb0F4Gv1T/O8+6DB/BY9fwgEyuw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f1H/wQAAANsAAAAPAAAAAAAAAAAAAAAA&#10;AKECAABkcnMvZG93bnJldi54bWxQSwUGAAAAAAQABAD5AAAAjwMAAAAA&#10;" strokecolor="#53529f" strokeweight="3.6pt"/>
                <w10:wrap xmlns:w10="urn:schemas-microsoft-com:office:word" anchorx="page" anchory="page"/>
              </v:group>
            </w:pict>
          </mc:Fallback>
        </mc:AlternateContent>
      </w:r>
    </w:p>
    <w:p>
      <w:pPr>
        <w:pStyle w:val="TOC1"/>
        <w:rPr/>
      </w:pPr>
    </w:p>
    <w:p>
      <w:pPr>
        <w:rPr/>
      </w:pPr>
    </w:p>
    <w:p>
      <w:pPr>
        <w:rPr/>
      </w:pPr>
      <w:r>
        <w:fldChar w:fldCharType="begin"/>
      </w:r>
      <w:r>
        <w:instrText xml:space="preserve"> TOC \f \t "Page Heading,1" </w:instrText>
      </w:r>
      <w:r>
        <w:fldChar w:fldCharType="separate"/>
      </w:r>
    </w:p>
    <w:p>
      <w:pPr>
        <w:pStyle w:val="TOC1"/>
        <w:spacing w:before="120"/>
        <w:rPr/>
      </w:pPr>
      <w:r>
        <w:rPr>
          <w:rFonts w:asciiTheme="minorHAnsi" w:hAnsiTheme="minorHAnsi"/>
          <w:bCs/>
          <w:color w:val="070F13" w:themeColor="text1"/>
          <w:sz w:val="24"/>
        </w:rPr>
        <w:t xml:space="preserve">Purpose, Background and Scope</w:t>
      </w:r>
      <w:r>
        <w:rPr>
          <w:rFonts w:asciiTheme="minorHAnsi" w:hAnsiTheme="minorHAnsi"/>
          <w:bCs/>
          <w:color w:val="070F13" w:themeColor="text1"/>
          <w:sz w:val="24"/>
        </w:rPr>
        <w:tab/>
      </w:r>
      <w:fldSimple w:instr=" PAGEREF _Toc1167311708 ">
        <w:r>
          <w:rPr>
            <w:rFonts w:asciiTheme="minorHAnsi" w:hAnsiTheme="minorHAnsi"/>
            <w:bCs/>
            <w:color w:val="070F13" w:themeColor="text1"/>
            <w:sz w:val="24"/>
          </w:rPr>
          <w:t xml:space="preserve">3</w:t>
        </w:r>
      </w:fldSimple>
    </w:p>
    <w:p>
      <w:pPr>
        <w:pStyle w:val="TOC1"/>
        <w:spacing w:before="120"/>
        <w:rPr/>
      </w:pPr>
      <w:r>
        <w:rPr>
          <w:rFonts w:asciiTheme="minorHAnsi" w:hAnsiTheme="minorHAnsi"/>
          <w:bCs/>
          <w:color w:val="070F13" w:themeColor="text1"/>
          <w:sz w:val="24"/>
        </w:rPr>
        <w:t xml:space="preserve">Results</w:t>
      </w:r>
      <w:r>
        <w:rPr>
          <w:rFonts w:asciiTheme="minorHAnsi" w:hAnsiTheme="minorHAnsi"/>
          <w:bCs/>
          <w:color w:val="070F13" w:themeColor="text1"/>
          <w:sz w:val="24"/>
        </w:rPr>
        <w:tab/>
      </w:r>
      <w:fldSimple w:instr=" PAGEREF _Toc947265275 ">
        <w:r>
          <w:rPr>
            <w:rFonts w:asciiTheme="minorHAnsi" w:hAnsiTheme="minorHAnsi"/>
            <w:bCs/>
            <w:color w:val="070F13" w:themeColor="text1"/>
            <w:sz w:val="24"/>
          </w:rPr>
          <w:t xml:space="preserve">5</w:t>
        </w:r>
      </w:fldSimple>
    </w:p>
    <w:p>
      <w:pPr>
        <w:pStyle w:val="TOC1"/>
        <w:spacing w:before="120"/>
        <w:rPr/>
      </w:pPr>
      <w:r>
        <w:rPr>
          <w:rFonts w:asciiTheme="minorHAnsi" w:hAnsiTheme="minorHAnsi"/>
          <w:bCs/>
          <w:color w:val="070F13" w:themeColor="text1"/>
          <w:sz w:val="24"/>
        </w:rPr>
        <w:t xml:space="preserve">Results Summary</w:t>
      </w:r>
      <w:r>
        <w:rPr>
          <w:rFonts w:asciiTheme="minorHAnsi" w:hAnsiTheme="minorHAnsi"/>
          <w:bCs/>
          <w:color w:val="070F13" w:themeColor="text1"/>
          <w:sz w:val="24"/>
        </w:rPr>
        <w:tab/>
      </w:r>
      <w:fldSimple w:instr=" PAGEREF _Toc1186542710 ">
        <w:r>
          <w:rPr>
            <w:rFonts w:asciiTheme="minorHAnsi" w:hAnsiTheme="minorHAnsi"/>
            <w:bCs/>
            <w:color w:val="070F13" w:themeColor="text1"/>
            <w:sz w:val="24"/>
          </w:rPr>
          <w:t xml:space="preserve">6</w:t>
        </w:r>
      </w:fldSimple>
    </w:p>
    <w:p>
      <w:pPr>
        <w:pStyle w:val="TOC1"/>
        <w:spacing w:before="120"/>
        <w:rPr/>
      </w:pPr>
      <w:r>
        <w:rPr>
          <w:rFonts w:asciiTheme="minorHAnsi" w:hAnsiTheme="minorHAnsi"/>
          <w:bCs/>
          <w:color w:val="070F13" w:themeColor="text1"/>
          <w:sz w:val="24"/>
        </w:rPr>
        <w:t xml:space="preserve">Summary of Issues</w:t>
      </w:r>
      <w:r>
        <w:rPr>
          <w:rFonts w:asciiTheme="minorHAnsi" w:hAnsiTheme="minorHAnsi"/>
          <w:bCs/>
          <w:color w:val="070F13" w:themeColor="text1"/>
          <w:sz w:val="24"/>
        </w:rPr>
        <w:tab/>
      </w:r>
      <w:fldSimple w:instr=" PAGEREF _Toc105920440 ">
        <w:r>
          <w:rPr>
            <w:rFonts w:asciiTheme="minorHAnsi" w:hAnsiTheme="minorHAnsi"/>
            <w:bCs/>
            <w:color w:val="070F13" w:themeColor="text1"/>
            <w:sz w:val="24"/>
          </w:rPr>
          <w:t xml:space="preserve">7</w:t>
        </w:r>
      </w:fldSimple>
    </w:p>
    <w:p>
      <w:pPr>
        <w:pStyle w:val="TOC1"/>
        <w:spacing w:before="120"/>
        <w:rPr/>
      </w:pPr>
      <w:r>
        <w:rPr>
          <w:rFonts w:asciiTheme="minorHAnsi" w:hAnsiTheme="minorHAnsi"/>
          <w:bCs/>
          <w:color w:val="070F13" w:themeColor="text1"/>
          <w:sz w:val="24"/>
        </w:rPr>
        <w:t xml:space="preserve">F1 Non-Achievement of the 25% Surplus Benchmark</w:t>
      </w:r>
      <w:r>
        <w:rPr>
          <w:rFonts w:asciiTheme="minorHAnsi" w:hAnsiTheme="minorHAnsi"/>
          <w:bCs/>
          <w:color w:val="070F13" w:themeColor="text1"/>
          <w:sz w:val="24"/>
        </w:rPr>
        <w:tab/>
      </w:r>
      <w:fldSimple w:instr=" PAGEREF _Toc1660742908 ">
        <w:r>
          <w:rPr>
            <w:rFonts w:asciiTheme="minorHAnsi" w:hAnsiTheme="minorHAnsi"/>
            <w:bCs/>
            <w:color w:val="070F13" w:themeColor="text1"/>
            <w:sz w:val="24"/>
          </w:rPr>
          <w:t xml:space="preserve">8</w:t>
        </w:r>
      </w:fldSimple>
    </w:p>
    <w:p>
      <w:pPr>
        <w:pStyle w:val="TOC1"/>
        <w:spacing w:before="120"/>
        <w:rPr/>
      </w:pPr>
      <w:r>
        <w:rPr>
          <w:rFonts w:asciiTheme="minorHAnsi" w:hAnsiTheme="minorHAnsi"/>
          <w:bCs/>
          <w:color w:val="070F13" w:themeColor="text1"/>
          <w:sz w:val="24"/>
        </w:rPr>
        <w:t xml:space="preserve">F2 Inaccurate opening balances</w:t>
      </w:r>
      <w:r>
        <w:rPr>
          <w:rFonts w:asciiTheme="minorHAnsi" w:hAnsiTheme="minorHAnsi"/>
          <w:bCs/>
          <w:color w:val="070F13" w:themeColor="text1"/>
          <w:sz w:val="24"/>
        </w:rPr>
        <w:tab/>
      </w:r>
      <w:fldSimple w:instr=" PAGEREF _Toc386747121 ">
        <w:r>
          <w:rPr>
            <w:rFonts w:asciiTheme="minorHAnsi" w:hAnsiTheme="minorHAnsi"/>
            <w:bCs/>
            <w:color w:val="070F13" w:themeColor="text1"/>
            <w:sz w:val="24"/>
          </w:rPr>
          <w:t xml:space="preserve">10</w:t>
        </w:r>
      </w:fldSimple>
    </w:p>
    <w:p>
      <w:pPr>
        <w:pStyle w:val="TOC1"/>
        <w:spacing w:before="120"/>
        <w:rPr/>
      </w:pPr>
      <w:r>
        <w:rPr>
          <w:rFonts w:asciiTheme="minorHAnsi" w:hAnsiTheme="minorHAnsi"/>
          <w:bCs/>
          <w:color w:val="070F13" w:themeColor="text1"/>
          <w:sz w:val="24"/>
        </w:rPr>
        <w:t xml:space="preserve">F3 Non-achievement of branch membership threshold</w:t>
      </w:r>
      <w:r>
        <w:rPr>
          <w:rFonts w:asciiTheme="minorHAnsi" w:hAnsiTheme="minorHAnsi"/>
          <w:bCs/>
          <w:color w:val="070F13" w:themeColor="text1"/>
          <w:sz w:val="24"/>
        </w:rPr>
        <w:tab/>
      </w:r>
      <w:fldSimple w:instr=" PAGEREF _Toc1100782544 ">
        <w:r>
          <w:rPr>
            <w:rFonts w:asciiTheme="minorHAnsi" w:hAnsiTheme="minorHAnsi"/>
            <w:bCs/>
            <w:color w:val="070F13" w:themeColor="text1"/>
            <w:sz w:val="24"/>
          </w:rPr>
          <w:t xml:space="preserve">13</w:t>
        </w:r>
      </w:fldSimple>
    </w:p>
    <w:p>
      <w:pPr>
        <w:pStyle w:val="TOC1"/>
        <w:spacing w:before="120"/>
        <w:rPr/>
      </w:pPr>
      <w:r>
        <w:rPr>
          <w:rFonts w:asciiTheme="minorHAnsi" w:hAnsiTheme="minorHAnsi"/>
          <w:bCs/>
          <w:color w:val="070F13" w:themeColor="text1"/>
          <w:sz w:val="24"/>
        </w:rPr>
        <w:t xml:space="preserve">F4 Lack of signed code of conduct among volunteers</w:t>
      </w:r>
      <w:r>
        <w:rPr>
          <w:rFonts w:asciiTheme="minorHAnsi" w:hAnsiTheme="minorHAnsi"/>
          <w:bCs/>
          <w:color w:val="070F13" w:themeColor="text1"/>
          <w:sz w:val="24"/>
        </w:rPr>
        <w:tab/>
      </w:r>
      <w:fldSimple w:instr=" PAGEREF _Toc287931530 ">
        <w:r>
          <w:rPr>
            <w:rFonts w:asciiTheme="minorHAnsi" w:hAnsiTheme="minorHAnsi"/>
            <w:bCs/>
            <w:color w:val="070F13" w:themeColor="text1"/>
            <w:sz w:val="24"/>
          </w:rPr>
          <w:t xml:space="preserve">15</w:t>
        </w:r>
      </w:fldSimple>
    </w:p>
    <w:p>
      <w:pPr>
        <w:pStyle w:val="TOC1"/>
        <w:spacing w:before="120"/>
        <w:rPr/>
      </w:pPr>
      <w:r>
        <w:rPr>
          <w:rFonts w:asciiTheme="minorHAnsi" w:hAnsiTheme="minorHAnsi"/>
          <w:bCs/>
          <w:color w:val="070F13" w:themeColor="text1"/>
          <w:sz w:val="24"/>
        </w:rPr>
        <w:t xml:space="preserve">F5 Inventory listing lacking valuation details</w:t>
      </w:r>
      <w:r>
        <w:rPr>
          <w:rFonts w:asciiTheme="minorHAnsi" w:hAnsiTheme="minorHAnsi"/>
          <w:bCs/>
          <w:color w:val="070F13" w:themeColor="text1"/>
          <w:sz w:val="24"/>
        </w:rPr>
        <w:tab/>
      </w:r>
      <w:fldSimple w:instr=" PAGEREF _Toc864235586 ">
        <w:r>
          <w:rPr>
            <w:rFonts w:asciiTheme="minorHAnsi" w:hAnsiTheme="minorHAnsi"/>
            <w:bCs/>
            <w:color w:val="070F13" w:themeColor="text1"/>
            <w:sz w:val="24"/>
          </w:rPr>
          <w:t xml:space="preserve">17</w:t>
        </w:r>
      </w:fldSimple>
    </w:p>
    <w:p>
      <w:pPr>
        <w:pStyle w:val="TOC1"/>
        <w:spacing w:before="120"/>
        <w:rPr/>
      </w:pPr>
      <w:r>
        <w:rPr>
          <w:rFonts w:asciiTheme="minorHAnsi" w:hAnsiTheme="minorHAnsi"/>
          <w:bCs/>
          <w:color w:val="070F13" w:themeColor="text1"/>
          <w:sz w:val="24"/>
        </w:rPr>
        <w:t xml:space="preserve">F6 Long-outstanding items in bank reconciliation</w:t>
      </w:r>
      <w:r>
        <w:rPr>
          <w:rFonts w:asciiTheme="minorHAnsi" w:hAnsiTheme="minorHAnsi"/>
          <w:bCs/>
          <w:color w:val="070F13" w:themeColor="text1"/>
          <w:sz w:val="24"/>
        </w:rPr>
        <w:tab/>
      </w:r>
      <w:fldSimple w:instr=" PAGEREF _Toc831425836 ">
        <w:r>
          <w:rPr>
            <w:rFonts w:asciiTheme="minorHAnsi" w:hAnsiTheme="minorHAnsi"/>
            <w:bCs/>
            <w:color w:val="070F13" w:themeColor="text1"/>
            <w:sz w:val="24"/>
          </w:rPr>
          <w:t xml:space="preserve">19</w:t>
        </w:r>
      </w:fldSimple>
    </w:p>
    <w:p>
      <w:pPr>
        <w:pStyle w:val="TOC1"/>
        <w:spacing w:before="120"/>
        <w:rPr/>
      </w:pPr>
      <w:r>
        <w:rPr>
          <w:rFonts w:asciiTheme="minorHAnsi" w:hAnsiTheme="minorHAnsi"/>
          <w:bCs/>
          <w:color w:val="070F13" w:themeColor="text1"/>
          <w:sz w:val="24"/>
        </w:rPr>
        <w:t xml:space="preserve">F7 Late preparation of bank reconciliations</w:t>
      </w:r>
      <w:r>
        <w:rPr>
          <w:rFonts w:asciiTheme="minorHAnsi" w:hAnsiTheme="minorHAnsi"/>
          <w:bCs/>
          <w:color w:val="070F13" w:themeColor="text1"/>
          <w:sz w:val="24"/>
        </w:rPr>
        <w:tab/>
      </w:r>
      <w:fldSimple w:instr=" PAGEREF _Toc783828710 ">
        <w:r>
          <w:rPr>
            <w:rFonts w:asciiTheme="minorHAnsi" w:hAnsiTheme="minorHAnsi"/>
            <w:bCs/>
            <w:color w:val="070F13" w:themeColor="text1"/>
            <w:sz w:val="24"/>
          </w:rPr>
          <w:t xml:space="preserve">22</w:t>
        </w:r>
      </w:fldSimple>
    </w:p>
    <w:p>
      <w:pPr>
        <w:pStyle w:val="TOC1"/>
        <w:spacing w:before="120"/>
        <w:rPr/>
      </w:pPr>
      <w:r>
        <w:rPr>
          <w:rFonts w:asciiTheme="minorHAnsi" w:hAnsiTheme="minorHAnsi"/>
          <w:bCs/>
          <w:color w:val="070F13" w:themeColor="text1"/>
          <w:sz w:val="24"/>
        </w:rPr>
        <w:t xml:space="preserve">F8 Outstanding external audit matters</w:t>
      </w:r>
      <w:r>
        <w:rPr>
          <w:rFonts w:asciiTheme="minorHAnsi" w:hAnsiTheme="minorHAnsi"/>
          <w:bCs/>
          <w:color w:val="070F13" w:themeColor="text1"/>
          <w:sz w:val="24"/>
        </w:rPr>
        <w:tab/>
      </w:r>
      <w:fldSimple w:instr=" PAGEREF _Toc1861546071 ">
        <w:r>
          <w:rPr>
            <w:rFonts w:asciiTheme="minorHAnsi" w:hAnsiTheme="minorHAnsi"/>
            <w:bCs/>
            <w:color w:val="070F13" w:themeColor="text1"/>
            <w:sz w:val="24"/>
          </w:rPr>
          <w:t xml:space="preserve">25</w:t>
        </w:r>
      </w:fldSimple>
    </w:p>
    <w:p>
      <w:pPr>
        <w:pStyle w:val="TOC1"/>
        <w:spacing w:before="120"/>
        <w:rPr/>
      </w:pPr>
      <w:r>
        <w:rPr>
          <w:rFonts w:asciiTheme="minorHAnsi" w:hAnsiTheme="minorHAnsi"/>
          <w:bCs/>
          <w:color w:val="070F13" w:themeColor="text1"/>
          <w:sz w:val="24"/>
        </w:rPr>
        <w:t xml:space="preserve">F9 Procurement review (Investigation)</w:t>
      </w:r>
      <w:r>
        <w:rPr>
          <w:rFonts w:asciiTheme="minorHAnsi" w:hAnsiTheme="minorHAnsi"/>
          <w:bCs/>
          <w:color w:val="070F13" w:themeColor="text1"/>
          <w:sz w:val="24"/>
        </w:rPr>
        <w:tab/>
      </w:r>
      <w:fldSimple w:instr=" PAGEREF _Toc409061808 ">
        <w:r>
          <w:rPr>
            <w:rFonts w:asciiTheme="minorHAnsi" w:hAnsiTheme="minorHAnsi"/>
            <w:bCs/>
            <w:color w:val="070F13" w:themeColor="text1"/>
            <w:sz w:val="24"/>
          </w:rPr>
          <w:t xml:space="preserve">28</w:t>
        </w:r>
      </w:fldSimple>
      <w:r>
        <w:fldChar w:fldCharType="end"/>
      </w:r>
    </w:p>
    <w:p>
      <w:pPr>
        <w:pStyle w:val="BodyText"/>
        <w:tabs>
          <w:tab w:val="right" w:leader="none" w:pos="12474"/>
        </w:tabs>
        <w:spacing w:before="240"/>
        <w:ind w:firstLine="2127"/>
        <w:rPr>
          <w:rFonts w:asciiTheme="minorHAnsi" w:hAnsiTheme="minorHAnsi"/>
          <w:b w:val="off"/>
          <w:color w:val="4A478A" w:themeColor="text2"/>
          <w:sz w:val="27"/>
        </w:rPr>
        <w:sectPr>
          <w:headerReference w:type="default" r:id="rId19"/>
          <w:type w:val="nextPage"/>
          <w:pgSz w:w="15840" w:h="12240" w:orient="landscape"/>
          <w:pgMar w:top="720" w:right="720" w:bottom="720" w:left="720" w:header="397" w:footer="397" w:gutter="0"/>
          <w:cols w:space="720"/>
          <w:textDirection w:val="lrTb"/>
          <w:bidi w:val="off"/>
        </w:sectPr>
      </w:pPr>
    </w:p>
    <w:p>
      <w:pPr>
        <w:pStyle w:val="BodyText"/>
        <w:rPr>
          <w:rFonts w:ascii="Times"/>
          <w:b w:val="off"/>
        </w:rPr>
      </w:pPr>
      <w:r>
        <w:drawing>
          <wp:anchor distT="0" distB="0" distL="114300" distR="114300" simplePos="0" relativeHeight="5120" behindDoc="1" layoutInCell="1" allowOverlap="1" locked="0">
            <wp:simplePos x="0" y="0"/>
            <wp:positionH relativeFrom="page">
              <wp:posOffset>484505</wp:posOffset>
            </wp:positionH>
            <wp:positionV relativeFrom="page">
              <wp:posOffset>327660</wp:posOffset>
            </wp:positionV>
            <wp:extent cx="8985886" cy="464185"/>
            <wp:effectExtent l="0" t="0" r="6350" b="12065"/>
            <wp:wrapNone/>
            <wp:docPr id="9" name="Shape 9"/>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1" w:name="_Toc1167311708"/>
                        <w:r>
                          <w:rPr>
                            <w:color w:val="53529F"/>
                          </w:rPr>
                          <w:t xml:space="preserve">Purpose, Background and Scope</w:t>
                        </w:r>
                        <w:bookmarkEnd w:id="1"/>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r>
        <mc:AlternateContent>
          <mc:Choice Requires="wpg">
            <w:drawing>
              <wp:anchor distT="0" distB="0" distL="114300" distR="114300" simplePos="0" relativeHeight="10240" behindDoc="0" layoutInCell="1" allowOverlap="1" locked="0">
                <wp:simplePos x="0" y="0"/>
                <wp:positionH relativeFrom="page">
                  <wp:posOffset>459105</wp:posOffset>
                </wp:positionH>
                <wp:positionV relativeFrom="page">
                  <wp:posOffset>267335</wp:posOffset>
                </wp:positionV>
                <wp:extent cx="9119870" cy="574675"/>
                <wp:effectExtent l="0" t="0" r="5715" b="15875"/>
                <wp:wrapNone/>
                <wp:docPr id="10" name="Group 10"/>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6A59AE62" id="Group 3" o:spid="_x0000_s1026" style="position:absolute;margin-left:36.15pt;margin-top:21.05pt;width:718.1pt;height:45.25pt;z-index:251700224;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ApnygIAAFc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KkTMMAAADaAAAADwAAAGRycy9kb3ducmV2LnhtbESPQWvCQBSE74L/YXlCb83GIqWNrkEk&#10;AW9ialuPj+xrkpp9G7LbJP77bqHgcZiZb5hNOplWDNS7xrKCZRSDIC6tbrhScH7LH19AOI+ssbVM&#10;Cm7kIN3OZxtMtB35REPhKxEg7BJUUHvfJVK6siaDLrIdcfC+bG/QB9lXUvc4Brhp5VMcP0uDDYeF&#10;Gjva11Reix+j4Pvj/TQes3wabybPLhl9Fq9HVuphMe3WIDxN/h7+bx+0ghX8XQk3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SpEzDAAAA2g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sTNsIAAADaAAAADwAAAGRycy9kb3ducmV2LnhtbESPQWvCQBSE7wX/w/IK3urGYpo2uooE&#10;Ct7EtAePj+wzCc2+DdmNJvn1riD0OMzMN8xmN5hGXKlztWUFy0UEgriwuuZSwe/P99snCOeRNTaW&#10;ScFIDnbb2csGU21vfKJr7ksRIOxSVFB536ZSuqIig25hW+LgXWxn0AfZlVJ3eAtw08j3KPqQBmsO&#10;CxW2lFVU/OW9UZCNcb/k5GvVTOfJ2bOrj0mfKTV/HfZrEJ4G/x9+tg9aQQyPK+EGyO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YsTNsIAAADaAAAADwAAAAAAAAAAAAAA&#10;AAChAgAAZHJzL2Rvd25yZXYueG1sUEsFBgAAAAAEAAQA+QAAAJADA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Purpose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purpose of this audit spot check is to provide independent assurance on the adequacy and effectiveness of internal controls within the Central Region branches (Nyeri, Murang’a, Embu, Kiambu, and Kirinyaga). Specifically, the audit seeks to verify compliance with established policies and procedures, assess the accuracy and completeness of financial and operational records, and determine whether branch activities are being implemented in accordance with organizational guidelines and donor requirements.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The spot check aims to identify control gaps, potential risks, and opportunities for improvement, thereby supporting management in enhancing accountability, safeguarding assets, and strengthening overall operational integrity across the region.</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Background</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Internal Audit Department is conducting a spot check review of the Central Region branches, namely Nyeri, Murang’a, Embu, Kiambu, and Kirinyaga. This exercise is part of the annual audit plan and aims to provide assurance on the effectiveness of internal controls, compliance with organizational policies, and the accuracy of financial and operational records at the branch level.</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The Central Region branches play a key role in service delivery, programme implementation, and financial management within their respective counties. Given their strategic importance and the volume of activities undertaken, periodic spot checks are necessary to assess control environments, identify emerging risks, and confirm the reliability of information reported to the regional and national offices.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This spot check focuses on selected high-risk areas, including cash management, governance, warehouse management, volunteer management, opening balances review and performance. The results will guide management in strengthening controls, enhancing accountability, and improving overall operational efficiency across the region.</w:t>
      </w:r>
    </w:p>
    <w:p>
      <w:pPr>
        <w:rPr>
          <w:sz w:val="20"/>
        </w:rPr>
      </w:pPr>
    </w:p>
    <w:p>
      <w:pPr>
        <w:rPr>
          <w:sz w:val="20"/>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Scope</w:t>
            </w:r>
          </w:p>
        </w:tc>
      </w:tr>
    </w:tbl>
    <w:p>
      <w:pPr>
        <w:rPr>
          <w:rFonts w:ascii="Calibri" w:hAnsi="Calibri"/>
          <w:color w:val="070F13" w:themeColor="text1"/>
          <w:sz w:val="24"/>
          <w:szCs w:val="24"/>
        </w:rPr>
      </w:pPr>
    </w:p>
    <w:p>
      <w:pPr>
        <w:rPr>
          <w:sz w:val="20"/>
        </w:rPr>
      </w:pPr>
      <w:r>
        <w:rPr>
          <w:rFonts w:ascii="Calibri" w:hAnsi="Calibri"/>
          <w:color w:val="070F13" w:themeColor="text1"/>
          <w:sz w:val="24"/>
          <w:szCs w:val="24"/>
        </w:rPr>
        <w:t xml:space="preserve">The scope of this audit spot check covers the following key areas across the Central Region branches: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b w:val="on"/>
          <w:color w:val="070F13" w:themeColor="text1"/>
          <w:sz w:val="24"/>
          <w:szCs w:val="24"/>
        </w:rPr>
        <w:t xml:space="preserve">Cash Management:</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cash handling practices, cashbook accuracy, bank reconciliations, documentation supporting receipts and payments, and compliance with financial policies.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b w:val="on"/>
          <w:color w:val="070F13" w:themeColor="text1"/>
          <w:sz w:val="24"/>
          <w:szCs w:val="24"/>
        </w:rPr>
        <w:t xml:space="preserve">Governance:</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Assessment of branch governance structures, decision-making processes, adherence to organizational governance guidelines, availability of key </w:t>
      </w:r>
      <w:r>
        <w:rPr>
          <w:rFonts w:ascii="Calibri" w:hAnsi="Calibri"/>
          <w:color w:val="070F13" w:themeColor="text1"/>
          <w:sz w:val="24"/>
          <w:szCs w:val="24"/>
        </w:rPr>
        <w:t xml:space="preserve">governance documents, and functioning of branch committees.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b w:val="on"/>
          <w:color w:val="070F13" w:themeColor="text1"/>
          <w:sz w:val="24"/>
          <w:szCs w:val="24"/>
        </w:rPr>
        <w:t xml:space="preserve">Warehouse Management:</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Examination of stock controls, storage practices, stock movement records, stock reconciliations, and compliance with warehouse and inventory management procedures.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b w:val="on"/>
          <w:color w:val="070F13" w:themeColor="text1"/>
          <w:sz w:val="24"/>
          <w:szCs w:val="24"/>
        </w:rPr>
        <w:t xml:space="preserve">Volunteer Management:</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Review of volunteer engagement processes including contracts or engagement letters, deployment practices, documentation quality, and compliance with volunteer management policies.</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b w:val="on"/>
          <w:color w:val="070F13" w:themeColor="text1"/>
          <w:sz w:val="24"/>
          <w:szCs w:val="24"/>
        </w:rPr>
        <w:t xml:space="preserve">Opening Balances Review and Performance:</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pPr>
      <w:r>
        <w:rPr>
          <w:rFonts w:ascii="Calibri" w:hAnsi="Calibri"/>
          <w:color w:val="070F13" w:themeColor="text1"/>
          <w:sz w:val="24"/>
          <w:szCs w:val="24"/>
        </w:rPr>
        <w:t xml:space="preserve">Verification that prior-year closing balances were accurately brought forward, confirmation of completeness and correctness of opening balances, and assessment of performance against planned targets for the review period.</w:t>
      </w:r>
    </w:p>
    <w:p>
      <w:pPr>
        <w:rPr>
          <w:i w:val="off"/>
          <w:iCs w:val="off"/>
          <w:smallCaps w:val="off"/>
          <w:strike w:val="off"/>
          <w:dstrike w:val="off"/>
          <w:outline w:val="off"/>
          <w:shadow w:val="off"/>
          <w:vanish w:val="off"/>
          <w:spacing w:val="0"/>
          <w:w w:val="100"/>
          <w:kern w:val="0"/>
          <w:position w:val="0"/>
          <w:sz w:val="20"/>
          <w:szCs w:val="22"/>
          <w:vertAlign w:val="baseline"/>
          <w:lang w:val="en-US" w:eastAsia="en-US" w:bidi="en-US"/>
        </w:rPr>
        <w:sectPr>
          <w:headerReference w:type="default" r:id="rId20"/>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This scope focuses on determining compliance with internal policies, identifying control gaps, and evaluating the effectiveness and efficiency of operational processes at the branch level.</w:t>
      </w:r>
    </w:p>
    <w:p>
      <w:pPr>
        <w:pStyle w:val="BodyText"/>
        <w:rPr>
          <w:rFonts w:ascii="Times"/>
          <w:b w:val="off"/>
        </w:rPr>
      </w:pPr>
      <w:r>
        <mc:AlternateContent>
          <mc:Choice Requires="wpg">
            <w:drawing>
              <wp:anchor distT="0" distB="0" distL="114300" distR="114300" simplePos="0" relativeHeight="12288"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1" name="Group 11"/>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3"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24"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469872AB" id="Group 19" o:spid="_x0000_s1026" style="position:absolute;margin-left:36pt;margin-top:20.95pt;width:718.05pt;height:45.25pt;z-index:251704320;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qnc5cMAAADbAAAADwAAAGRycy9kb3ducmV2LnhtbESPQWvCQBSE74X+h+UVvOmmCmKjq5SS&#10;gDcxavX4yD6TaPZtyG5N/PeuIPQ4zMw3zGLVm1rcqHWVZQWfowgEcW51xYWC/S4dzkA4j6yxtkwK&#10;7uRgtXx/W2CsbcdbumW+EAHCLkYFpfdNLKXLSzLoRrYhDt7ZtgZ9kG0hdYtdgJtajqNoKg1WHBZK&#10;bOinpPya/RkFl9/Dttskad/dTZqcEjpmXxtWavDRf89BeOr9f/jVXmsF4wk8v4QfIJ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6p3OXDAAAA2wAAAA8AAAAAAAAAAAAA&#10;AAAAoQIAAGRycy9kb3ducmV2LnhtbFBLBQYAAAAABAAEAPkAAACRAw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bamrcQAAADbAAAADwAAAGRycy9kb3ducmV2LnhtbESPzWrDMBCE74W8g9hAb42c4MapazkU&#10;Q6G30iSHHBdra5taK2PJ8c/TV4VCjsPMfMNkx8m04ka9aywr2G4iEMSl1Q1XCi7n96cDCOeRNbaW&#10;ScFMDo756iHDVNuRv+h28pUIEHYpKqi971IpXVmTQbexHXHwvm1v0AfZV1L3OAa4aeUuivbSYMNh&#10;ocaOiprKn9NgFBTz87Dl5CVul+vi7NU1n8lQKPW4nt5eQXia/D383/7QCnYx/H0JP0Dm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qatxAAAANsAAAAPAAAAAAAAAAAA&#10;AAAAAKECAABkcnMvZG93bnJldi54bWxQSwUGAAAAAAQABAD5AAAAkgMAAAAA&#10;" strokecolor="#53529f" strokeweight="3.6pt"/>
                <w10:wrap xmlns:w10="urn:schemas-microsoft-com:office:word" anchorx="page" anchory="page"/>
              </v:group>
            </w:pict>
          </mc:Fallback>
        </mc:AlternateContent>
      </w:r>
      <w:r>
        <w:drawing>
          <wp:anchor distT="0" distB="0" distL="114300" distR="114300" simplePos="0" relativeHeight="2048" behindDoc="1" layoutInCell="1" allowOverlap="1" locked="0">
            <wp:simplePos x="0" y="0"/>
            <wp:positionH relativeFrom="page">
              <wp:posOffset>485775</wp:posOffset>
            </wp:positionH>
            <wp:positionV relativeFrom="page">
              <wp:posOffset>327660</wp:posOffset>
            </wp:positionV>
            <wp:extent cx="8985886" cy="464185"/>
            <wp:effectExtent l="0" t="0" r="6350" b="12065"/>
            <wp:wrapNone/>
            <wp:docPr id="12" name="Shape 1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89856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2" w:name="_Toc947265275"/>
                        <w:r>
                          <w:rPr>
                            <w:color w:val="53529F"/>
                          </w:rPr>
                          <w:t xml:space="preserve">Results</w:t>
                        </w:r>
                        <w:bookmarkEnd w:id="2"/>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b w:val="off"/>
        </w:rPr>
      </w:pPr>
    </w:p>
    <w:p>
      <w:pPr>
        <w:pStyle w:val="BodyText"/>
        <w:rPr>
          <w:rFonts w:ascii="Times"/>
          <w:b w:val="off"/>
        </w:rPr>
      </w:pPr>
    </w:p>
    <w:tbl>
      <w:tblPr>
        <w:tblW w:w="4988" w:type="pct"/>
        <w:jc w:val="center"/>
        <w:tblCellMar>
          <w:left w:w="0" w:type="dxa"/>
          <w:right w:w="0" w:type="dxa"/>
        </w:tblCellMar>
        <w:tblLook w:firstRow="on" w:lastRow="on" w:firstColumn="on" w:lastColumn="on" w:noHBand="off" w:noVBand="off"/>
      </w:tblPr>
      <w:tblGrid>
        <w:gridCol w:w="7892"/>
        <w:gridCol w:w="6473"/>
      </w:tblGrid>
      <w:tr>
        <w:trPr>
          <w:jc w:val="center"/>
        </w:trPr>
        <w:tc>
          <w:tcPr>
            <w:tcW w:w="2747" w:type="pct"/>
            <w:shd w:val="clear" w:color="auto" w:fill="53529F"/>
            <w:vAlign w:val="center"/>
          </w:tcPr>
          <w:p>
            <w:pPr>
              <w:pStyle w:val="TableParagraph"/>
              <w:spacing w:before="120" w:after="120"/>
              <w:ind w:left="-2" w:firstLine="7"/>
              <w:jc w:val="center"/>
              <w:rPr>
                <w:rFonts w:ascii="Calibri" w:hAnsi="Calibri"/>
                <w:color w:val="FF0000"/>
                <w:sz w:val="24"/>
                <w:szCs w:val="24"/>
              </w:rPr>
            </w:pPr>
            <w:r>
              <w:rPr>
                <w:rFonts w:ascii="Calibri" w:hAnsi="Calibri"/>
                <w:b w:val="on"/>
                <w:color w:val="FFFFFF" w:themeColor="background1"/>
                <w:sz w:val="24"/>
                <w:szCs w:val="24"/>
              </w:rPr>
              <w:t xml:space="preserve">Overall Assurance</w:t>
            </w:r>
          </w:p>
        </w:tc>
        <w:tc>
          <w:tcPr>
            <w:tcW w:w="2253" w:type="pct"/>
            <w:shd w:val="clear" w:color="auto" w:fill="53529F"/>
            <w:vAlign w:val="center"/>
          </w:tcPr>
          <w:p>
            <w:pPr>
              <w:pStyle w:val="TableParagraph"/>
              <w:spacing w:before="120" w:after="120"/>
              <w:ind w:left="-2" w:right="169" w:firstLine="7"/>
              <w:jc w:val="center"/>
              <w:rPr>
                <w:rFonts w:ascii="Calibri" w:hAnsi="Calibri"/>
                <w:color w:val="FFFFFF" w:themeColor="background1"/>
                <w:sz w:val="24"/>
                <w:szCs w:val="24"/>
              </w:rPr>
            </w:pPr>
            <w:r>
              <w:rPr>
                <w:rFonts w:ascii="Calibri" w:hAnsi="Calibri"/>
                <w:b w:val="on"/>
                <w:color w:val="FFFFFF" w:themeColor="background1"/>
                <w:sz w:val="24"/>
                <w:szCs w:val="24"/>
              </w:rPr>
              <w:t xml:space="preserve">Conclusion/Rating</w:t>
            </w:r>
          </w:p>
        </w:tc>
      </w:tr>
      <w:tr>
        <w:trPr>
          <w:jc w:val="center"/>
        </w:trPr>
        <w:tc>
          <w:tcPr>
            <w:tcW w:w="2747" w:type="pct"/>
            <w:vAlign w:val="center"/>
          </w:tcPr>
          <w:p>
            <w:pPr>
              <w:pStyle w:val="TableParagraph"/>
              <w:spacing w:before="120" w:after="120"/>
              <w:ind w:left="-2" w:firstLine="7"/>
              <w:jc w:val="center"/>
              <w:rPr>
                <w:rFonts w:ascii="Calibri" w:hAnsi="Calibri"/>
                <w:b w:val="on"/>
                <w:color w:val="070F13" w:themeColor="text1"/>
                <w:sz w:val="24"/>
                <w:szCs w:val="24"/>
              </w:rPr>
            </w:pPr>
            <w:r>
              <w:rPr>
                <w:rFonts w:ascii="Calibri" w:hAnsi="Calibri"/>
                <w:color w:val="070F13" w:themeColor="text1"/>
                <w:sz w:val="24"/>
                <w:szCs w:val="24"/>
              </w:rPr>
              <w:t xml:space="preserve">6%</w:t>
            </w:r>
          </w:p>
        </w:tc>
        <w:tc>
          <w:tcPr>
            <w:tcW w:w="2253" w:type="pct"/>
            <w:vAlign w:val="center"/>
          </w:tcPr>
          <w:p>
            <w:pPr>
              <w:pStyle w:val="TableParagraph"/>
              <w:spacing w:before="120" w:after="120"/>
              <w:ind w:left="-2" w:right="169" w:firstLine="7"/>
              <w:jc w:val="center"/>
              <w:rPr>
                <w:rFonts w:ascii="Calibri" w:hAnsi="Calibri"/>
                <w:b w:val="on"/>
                <w:color w:val="070F13" w:themeColor="text1"/>
                <w:sz w:val="24"/>
                <w:szCs w:val="24"/>
              </w:rPr>
            </w:pPr>
            <w:r>
              <w:rPr>
                <w:rFonts w:ascii="Calibri" w:hAnsi="Calibri"/>
                <w:color w:val="070F13" w:themeColor="text1"/>
                <w:sz w:val="24"/>
                <w:szCs w:val="24"/>
              </w:rPr>
              <w:t xml:space="preserve">Needs Improvement</w:t>
            </w:r>
          </w:p>
        </w:tc>
      </w:tr>
    </w:tbl>
    <w:p>
      <w:pPr>
        <w:pStyle w:val="BodyText"/>
        <w:rPr>
          <w:rFonts w:ascii="Times"/>
          <w:b w:val="off"/>
        </w:rPr>
      </w:pPr>
    </w:p>
    <w:p>
      <w:pPr>
        <w:pStyle w:val="BodyText"/>
        <w:rPr>
          <w:rFonts w:ascii="Times"/>
          <w:b w:val="off"/>
        </w:rPr>
      </w:pPr>
      <w:r>
        <w:drawing>
          <wp:anchor distT="0" distB="0" distL="114300" distR="114300" simplePos="0" relativeHeight="8192" behindDoc="0" layoutInCell="1" allowOverlap="1" locked="0">
            <wp:simplePos x="0" y="0"/>
            <wp:positionH relativeFrom="column">
              <wp:posOffset>4528820</wp:posOffset>
            </wp:positionH>
            <wp:positionV relativeFrom="paragraph">
              <wp:posOffset>130175</wp:posOffset>
            </wp:positionV>
            <wp:extent cx="4591685" cy="295910"/>
            <wp:effectExtent l="0" t="0" r="0" b="0"/>
            <wp:wrapNone/>
            <wp:docPr id="13" name="Shape 13"/>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91685" cy="1403985"/>
                    </a:xfrm>
                    <a:prstGeom xmlns:a="http://schemas.openxmlformats.org/drawingml/2006/main" prst="rect">
                      <a:avLst/>
                    </a:prstGeom>
                    <a:noFill xmlns:a="http://schemas.openxmlformats.org/drawingml/2006/main"/>
                    <a:ln xmlns:a="http://schemas.openxmlformats.org/drawingml/2006/main" w="9525">
                      <a:noFill/>
                      <a:miter lim="800000"/>
                      <a:headEnd/>
                      <a:tailEnd/>
                    </a:ln>
                  </wps:spPr>
                  <wps:txbx>
                    <w:txbxContent>
                      <w:p>
                        <w:pPr>
                          <w:rPr>
                            <w:b w:val="on"/>
                          </w:rPr>
                        </w:pPr>
                        <w:r>
                          <w:rPr>
                            <w:rFonts w:asciiTheme="minorHAnsi" w:hAnsiTheme="minorHAnsi"/>
                            <w:b w:val="on"/>
                            <w:color w:val="4A478A"/>
                            <w:sz w:val="24"/>
                            <w:szCs w:val="24"/>
                          </w:rPr>
                          <w:t xml:space="preserve">Issue by Owner</w:t>
                        </w:r>
                      </w:p>
                    </w:txbxContent>
                  </wps:txbx>
                  <w10:wrap anchorx="text" anchory="text"/>
                  <wps:bodyPr xmlns:wps="http://schemas.microsoft.com/office/word/2010/wordprocessingShape" rot="0" vert="horz" wrap="square" lIns="91440" tIns="45720" rIns="91440" bIns="45720" anchor="t" anchorCtr="0">
                    <a:spAutoFit xmlns:a="http://schemas.openxmlformats.org/drawingml/2006/main"/>
                  </wps:bodyPr>
                </wps:wsp>
              </a:graphicData>
            </a:graphic>
          </wp:anchor>
        </w:drawing>
      </w:r>
      <w:r>
        <w:drawing>
          <wp:anchor distT="0" distB="0" distL="114300" distR="114300" simplePos="0" relativeHeight="7168" behindDoc="0" layoutInCell="1" allowOverlap="1" locked="0">
            <wp:simplePos x="0" y="0"/>
            <wp:positionH relativeFrom="column">
              <wp:posOffset>0</wp:posOffset>
            </wp:positionH>
            <wp:positionV relativeFrom="paragraph">
              <wp:posOffset>139065</wp:posOffset>
            </wp:positionV>
            <wp:extent cx="4526280" cy="295910"/>
            <wp:effectExtent l="0" t="0" r="7620" b="0"/>
            <wp:wrapNone/>
            <wp:docPr id="14" name="Shape 14"/>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526280" cy="1403985"/>
                    </a:xfrm>
                    <a:prstGeom xmlns:a="http://schemas.openxmlformats.org/drawingml/2006/main" prst="rect">
                      <a:avLst/>
                    </a:prstGeom>
                    <a:solidFill xmlns:a="http://schemas.openxmlformats.org/drawingml/2006/main">
                      <a:srgbClr val="FFFFFF"/>
                    </a:solidFill>
                    <a:ln xmlns:a="http://schemas.openxmlformats.org/drawingml/2006/main" w="9525">
                      <a:noFill/>
                      <a:miter lim="800000"/>
                      <a:headEnd/>
                      <a:tailEnd/>
                    </a:ln>
                  </wps:spPr>
                  <wps:txbx>
                    <w:txbxContent>
                      <w:p>
                        <w:pPr>
                          <w:rPr>
                            <w:rFonts w:asciiTheme="minorHAnsi" w:hAnsiTheme="minorHAnsi"/>
                            <w:b w:val="on"/>
                          </w:rPr>
                        </w:pPr>
                        <w:r>
                          <w:rPr>
                            <w:rFonts w:asciiTheme="minorHAnsi" w:hAnsiTheme="minorHAnsi"/>
                            <w:b w:val="on"/>
                            <w:color w:val="4A478A"/>
                            <w:sz w:val="24"/>
                            <w:szCs w:val="24"/>
                          </w:rPr>
                          <w:t xml:space="preserve">Issue by Severity</w:t>
                        </w:r>
                      </w:p>
                    </w:txbxContent>
                  </wps:txbx>
                  <w10:wrap anchorx="text" anchory="text"/>
                  <wps:bodyPr xmlns:wps="http://schemas.microsoft.com/office/word/2010/wordprocessingShape" rot="0" vert="horz" wrap="square" lIns="91440" tIns="45720" rIns="91440" bIns="45720" anchor="ctr" anchorCtr="0" upright="1">
                    <a:sp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p>
      <w:pPr>
        <w:pStyle w:val="BodyText"/>
        <w:rPr>
          <w:rFonts w:ascii="Times"/>
        </w:rPr>
      </w:pP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711488" behindDoc="0" locked="0" layoutInCell="1" allowOverlap="1" wp14:anchorId="2FA2BAB8" wp14:editId="755347A4">
            <wp:simplePos x="0" y="0"/>
            <wp:positionH relativeFrom="column">
              <wp:posOffset>0</wp:posOffset>
            </wp:positionH>
            <wp:positionV relativeFrom="paragraph">
              <wp:posOffset>149225</wp:posOffset>
            </wp:positionV>
            <wp:extent cx="4528820" cy="2415540"/>
            <wp:effectExtent l="0" t="0" r="5080" b="3810"/>
            <wp:wrapNone/>
            <wp:docPr id="15"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anchor>
        </w:drawing>
      </w:r>
      <w:r>
        <w:rPr/>
        <w:drawing xmlns:w="http://schemas.openxmlformats.org/wordprocessingml/2006/main">
          <wp:anchor xmlns:wp="http://schemas.openxmlformats.org/drawingml/2006/wordprocessingDrawing" xmlns:wp14="http://schemas.microsoft.com/office/word/2010/wordprocessingDrawing" distT="0" distB="0" distL="114300" distR="114300" simplePos="0" relativeHeight="251698176" behindDoc="1" locked="0" layoutInCell="1" allowOverlap="1" wp14:anchorId="0881F927" wp14:editId="55E3F005">
            <wp:simplePos x="0" y="0"/>
            <wp:positionH relativeFrom="column">
              <wp:posOffset>4528820</wp:posOffset>
            </wp:positionH>
            <wp:positionV relativeFrom="paragraph">
              <wp:posOffset>149225</wp:posOffset>
            </wp:positionV>
            <wp:extent cx="4589145" cy="2415540"/>
            <wp:effectExtent l="0" t="0" r="1905" b="3810"/>
            <wp:wrapThrough wrapText="bothSides">
              <wp:wrapPolygon edited="0">
                <wp:start x="90" y="0"/>
                <wp:lineTo x="0" y="511"/>
                <wp:lineTo x="0" y="21123"/>
                <wp:lineTo x="90" y="21464"/>
                <wp:lineTo x="21430" y="21464"/>
                <wp:lineTo x="21519" y="21123"/>
                <wp:lineTo x="21519" y="511"/>
                <wp:lineTo x="21430" y="0"/>
                <wp:lineTo x="90" y="0"/>
              </wp:wrapPolygon>
            </wp:wrapThrough>
            <wp:docPr id="16" name="AutoTag Chart"/>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14:sizeRelH relativeFrom="page">
              <wp14:pctWidth>0</wp14:pctWidth>
            </wp14:sizeRelH>
            <wp14:sizeRelV relativeFrom="page">
              <wp14:pctHeight>0</wp14:pctHeight>
            </wp14:sizeRelV>
          </wp:anchor>
        </w:drawing>
      </w: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rPr>
      </w:pPr>
    </w:p>
    <w:p>
      <w:pPr>
        <w:pStyle w:val="BodyText"/>
        <w:rPr>
          <w:rFonts w:ascii="Times"/>
          <w:b w:val="off"/>
        </w:rPr>
      </w:pPr>
    </w:p>
    <w:p>
      <w:pPr>
        <w:pStyle w:val="BodyText"/>
        <w:rPr>
          <w:rFonts w:ascii="Times"/>
          <w:b w:val="off"/>
        </w:rPr>
      </w:pPr>
    </w:p>
    <w:tbl>
      <w:tblPr>
        <w:tblW w:w="5000" w:type="pct"/>
        <w:tblBorders>
          <w:bottom w:val="dotted" w:sz="4" w:space="0" w:color="auto"/>
        </w:tblBorders>
        <w:tblCellMar>
          <w:left w:w="0" w:type="dxa"/>
          <w:right w:w="0" w:type="dxa"/>
        </w:tblCellMar>
        <w:tblLook w:firstRow="on" w:lastRow="on" w:firstColumn="on" w:lastColumn="on" w:noHBand="off" w:noVBand="off"/>
      </w:tblPr>
      <w:tblGrid>
        <w:gridCol w:w="14400"/>
      </w:tblGrid>
      <w:tr>
        <w:trPr>
          <w:cantSplit w:val="on"/>
          <w:tblHeader w:val="on"/>
        </w:trPr>
        <w:tc>
          <w:tcPr>
            <w:tcW w:w="5000" w:type="pct"/>
            <w:tcBorders>
              <w:bottom w:val="nil" w:sz="0"/>
            </w:tcBorders>
            <w:shd w:val="clear" w:color="auto" w:fill="53529F"/>
            <w:vAlign w:val="center"/>
          </w:tcPr>
          <w:p>
            <w:pPr>
              <w:pStyle w:val="BodyText"/>
              <w:spacing w:before="120" w:after="120"/>
              <w:ind w:right="851"/>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    Conclusion/Rating Description</w:t>
            </w:r>
          </w:p>
        </w:tc>
      </w:tr>
    </w:tbl>
    <w:p>
      <w:pPr>
        <w:rPr>
          <w:rFonts w:ascii="Calibri" w:hAnsi="Calibri"/>
          <w:color w:val="070F13" w:themeColor="text1"/>
          <w:sz w:val="24"/>
          <w:szCs w:val="24"/>
        </w:rPr>
      </w:pPr>
    </w:p>
    <w:p>
      <w:pPr>
        <w:rPr>
          <w:rFonts w:ascii="Times"/>
          <w:b w:val="on"/>
        </w:rPr>
      </w:pPr>
      <w:r>
        <w:rPr>
          <w:rFonts w:ascii="Calibri" w:hAnsi="Calibri"/>
          <w:color w:val="070F13" w:themeColor="text1"/>
          <w:sz w:val="24"/>
          <w:szCs w:val="24"/>
        </w:rPr>
        <w:t xml:space="preserve">Based on the procedures performed and evidence obtained, the overall audit rating for the Central Region branches is</w:t>
      </w:r>
      <w:r>
        <w:rPr>
          <w:rFonts w:ascii="Calibri" w:hAnsi="Calibri"/>
          <w:b w:val="on"/>
          <w:color w:val="070F13" w:themeColor="text1"/>
          <w:sz w:val="24"/>
          <w:szCs w:val="24"/>
        </w:rPr>
        <w:t xml:space="preserve"> Needs Improvement</w:t>
      </w:r>
      <w:r>
        <w:rPr>
          <w:rFonts w:ascii="Calibri" w:hAnsi="Calibri"/>
          <w:b w:val="off"/>
          <w:color w:val="070F13" w:themeColor="text1"/>
          <w:sz w:val="24"/>
          <w:szCs w:val="24"/>
        </w:rPr>
        <w:t xml:space="preserve">. While some controls and practices were found to be functioning as intended, several weaknesses were identified in financial documentation, compliance with established procedures, and consistency in operational practices across branches.</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pPr>
      <w:r>
        <w:rPr>
          <w:rFonts w:ascii="Calibri" w:hAnsi="Calibri"/>
          <w:color w:val="070F13" w:themeColor="text1"/>
          <w:sz w:val="24"/>
          <w:szCs w:val="24"/>
        </w:rPr>
        <w:t xml:space="preserve">To enhance operational integrity, management should address the identified control gaps, strengthen oversight mechanisms, and ensure consistent adherence to policies. Implementing the recommended corrective actions will help improve control effectiveness and reduce the risk of operational irregularities across the region.</w:t>
      </w:r>
    </w:p>
    <w:p>
      <w:pPr>
        <w:rPr>
          <w:rFonts w:ascii="Times"/>
          <w:b w:val="on"/>
          <w:i w:val="off"/>
          <w:iCs w:val="off"/>
          <w:smallCaps w:val="off"/>
          <w:strike w:val="off"/>
          <w:dstrike w:val="off"/>
          <w:outline w:val="off"/>
          <w:shadow w:val="off"/>
          <w:vanish w:val="off"/>
          <w:spacing w:val="0"/>
          <w:w w:val="100"/>
          <w:kern w:val="0"/>
          <w:position w:val="0"/>
          <w:sz w:val="22"/>
          <w:szCs w:val="22"/>
          <w:vertAlign w:val="baseline"/>
          <w:lang w:val="en-US" w:eastAsia="en-US" w:bidi="en-US"/>
        </w:rPr>
        <w:sectPr>
          <w:headerReference w:type="default" r:id="rId21"/>
          <w:type w:val="nextPage"/>
          <w:pgSz w:w="15840" w:h="12240" w:orient="landscape"/>
          <w:pgMar w:top="720" w:right="720" w:bottom="720" w:left="720" w:header="397" w:footer="397" w:gutter="0"/>
          <w:cols w:space="720"/>
          <w:textDirection w:val="lrTb"/>
          <w:bidi w:val="off"/>
        </w:sectPr>
      </w:pPr>
      <w:r>
        <w:rPr>
          <w:rFonts w:ascii="Calibri" w:hAnsi="Calibri"/>
          <w:color w:val="070F13" w:themeColor="text1"/>
          <w:sz w:val="24"/>
          <w:szCs w:val="24"/>
        </w:rPr>
        <w:t xml:space="preserve"> </w:t>
      </w:r>
    </w:p>
    <w:p>
      <w:pPr>
        <w:rPr>
          <w:rFonts w:ascii="Times"/>
          <w:bCs/>
          <w:sz w:val="20"/>
          <w:szCs w:val="20"/>
        </w:rPr>
      </w:pPr>
    </w:p>
    <w:p>
      <w:pPr>
        <w:rPr>
          <w:rFonts w:ascii="Times"/>
          <w:bCs/>
          <w:sz w:val="20"/>
          <w:szCs w:val="20"/>
        </w:rPr>
      </w:pPr>
    </w:p>
    <w:p>
      <w:pPr>
        <w:pStyle w:val="BodyText"/>
        <w:rPr>
          <w:rFonts w:ascii="Times"/>
          <w:b w:val="off"/>
        </w:rPr>
      </w:pPr>
      <w:r>
        <mc:AlternateContent>
          <mc:Choice Requires="wpg">
            <w:drawing>
              <wp:anchor distT="0" distB="0" distL="114300" distR="114300" simplePos="0" relativeHeight="13312" behindDoc="0" layoutInCell="1" allowOverlap="1" locked="0">
                <wp:simplePos x="0" y="0"/>
                <wp:positionH relativeFrom="page">
                  <wp:posOffset>457200</wp:posOffset>
                </wp:positionH>
                <wp:positionV relativeFrom="page">
                  <wp:posOffset>266065</wp:posOffset>
                </wp:positionV>
                <wp:extent cx="9119236" cy="574675"/>
                <wp:effectExtent l="0" t="0" r="5715" b="15875"/>
                <wp:wrapNone/>
                <wp:docPr id="17" name="Group 17"/>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235" cy="574675"/>
                          <a:chOff x="2144" y="360"/>
                          <a:chExt cx="11536" cy="1138"/>
                        </a:xfrm>
                      </wpg:grpSpPr>
                      <wps:wsp>
                        <wps:cNvPr xmlns:wps="http://schemas.microsoft.com/office/word/2010/wordprocessingShape" id="29"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0"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F897CB0" id="Group 28" o:spid="_x0000_s1026" style="position:absolute;margin-left:36pt;margin-top:20.95pt;width:718.05pt;height:45.25pt;z-index:251706368;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0HrD8IAAADbAAAADwAAAGRycy9kb3ducmV2LnhtbESPT4vCMBTE74LfITxhb5rqYVmrUZal&#10;BW9i/Xt8NM+22ryUJmvrt98sCB6HmfkNs1z3phYPal1lWcF0EoEgzq2uuFBw2KfjLxDOI2usLZOC&#10;JzlYr4aDJcbadryjR+YLESDsYlRQet/EUrq8JINuYhvi4F1ta9AH2RZSt9gFuKnlLIo+pcGKw0KJ&#10;Df2UlN+zX6Pgdjruum2S9t3TpMkloXM237JSH6P+ewHCU+/f4Vd7oxXM5vD/JfwAufo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0HrD8IAAADbAAAADwAAAAAAAAAAAAAA&#10;AAChAgAAZHJzL2Rvd25yZXYueG1sUEsFBgAAAAAEAAQA+QAAAJADA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Q2c8EAAADbAAAADwAAAGRycy9kb3ducmV2LnhtbERPy2rCQBTdC/2H4QrdmYm11TZmDBIo&#10;dFeqLlxeMtckmLkTMpOXX99ZFLo8nHeaTaYRA3WutqxgHcUgiAuray4VXM6fq3cQziNrbCyTgpkc&#10;ZIenRYqJtiP/0HDypQgh7BJUUHnfJlK6oiKDLrItceButjPoA+xKqTscQ7hp5Escb6XBmkNDhS3l&#10;FRX3U28U5PNbv+bdx2vzuD6cvbr6e9fnSj0vp+MehKfJ/4v/3F9awSasD1/CD5CHX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VDZzwQAAANsAAAAPAAAAAAAAAAAAAAAA&#10;AKECAABkcnMvZG93bnJldi54bWxQSwUGAAAAAAQABAD5AAAAjwMAAAAA&#10;" strokecolor="#53529f" strokeweight="3.6pt"/>
                <w10:wrap xmlns:w10="urn:schemas-microsoft-com:office:word" anchorx="page" anchory="page"/>
              </v:group>
            </w:pict>
          </mc:Fallback>
        </mc:AlternateContent>
      </w:r>
      <w:r>
        <w:drawing>
          <wp:anchor distT="0" distB="0" distL="114300" distR="114300" simplePos="0" relativeHeight="4096" behindDoc="1" layoutInCell="1" allowOverlap="1" locked="0">
            <wp:simplePos x="0" y="0"/>
            <wp:positionH relativeFrom="page">
              <wp:posOffset>485775</wp:posOffset>
            </wp:positionH>
            <wp:positionV relativeFrom="page">
              <wp:posOffset>327660</wp:posOffset>
            </wp:positionV>
            <wp:extent cx="9050656" cy="464185"/>
            <wp:effectExtent l="0" t="0" r="17780" b="12065"/>
            <wp:wrapNone/>
            <wp:docPr id="18" name="Shape 18"/>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90504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pPr>
                        <w:bookmarkStart w:id="3" w:name="_Toc1186542710"/>
                        <w:r>
                          <w:rPr>
                            <w:color w:val="53529F"/>
                          </w:rPr>
                          <w:t xml:space="preserve">Results Summary</w:t>
                        </w:r>
                        <w:bookmarkEnd w:id="3"/>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tabs>
          <w:tab w:val="left" w:leader="none" w:pos="2496"/>
        </w:tabs>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p>
      <w:pPr>
        <w:tabs>
          <w:tab w:val="left" w:leader="none" w:pos="2496"/>
        </w:tabs>
        <w:rPr>
          <w:rFonts w:ascii="Times" w:hAnsi="Times" w:cs="Times"/>
          <w:sz w:val="20"/>
          <w:szCs w:val="20"/>
        </w:rPr>
      </w:pPr>
    </w:p>
    <w:tbl>
      <w:tblPr>
        <w:tblW w:w="5000"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firstRow="on" w:lastRow="on" w:firstColumn="on" w:lastColumn="on" w:noHBand="off" w:noVBand="off"/>
      </w:tblPr>
      <w:tblGrid>
        <w:gridCol w:w="4501"/>
        <w:gridCol w:w="2863"/>
        <w:gridCol w:w="1407"/>
        <w:gridCol w:w="1407"/>
        <w:gridCol w:w="1407"/>
        <w:gridCol w:w="1407"/>
        <w:gridCol w:w="1408"/>
      </w:tblGrid>
      <w:tr>
        <w:trPr>
          <w:tblHeader w:val="on"/>
          <w:jc w:val="center"/>
        </w:trPr>
        <w:tc>
          <w:tcPr>
            <w:tcW w:w="4501"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Objective</w:t>
            </w:r>
          </w:p>
        </w:tc>
        <w:tc>
          <w:tcPr>
            <w:tcW w:w="2863" w:type="dxa"/>
            <w:shd w:val="clear" w:color="auto" w:fill="53529F"/>
            <w:vAlign w:val="center"/>
          </w:tcPr>
          <w:p>
            <w:pPr>
              <w:pStyle w:val="BodyText"/>
              <w:spacing w:before="120" w:after="120"/>
              <w:ind w:left="113"/>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Assurance</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Passed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Failed</w:t>
            </w:r>
          </w:p>
        </w:tc>
        <w:tc>
          <w:tcPr>
            <w:tcW w:w="1407"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Not tested</w:t>
            </w:r>
          </w:p>
        </w:tc>
        <w:tc>
          <w:tcPr>
            <w:tcW w:w="1408" w:type="dxa"/>
            <w:shd w:val="clear" w:color="auto" w:fill="53529F"/>
            <w:vAlign w:val="center"/>
          </w:tcPr>
          <w:p>
            <w:pPr>
              <w:pStyle w:val="BodyText"/>
              <w:spacing w:before="120" w:after="120"/>
              <w:jc w:val="center"/>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Current year's performance</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Governance review</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Opening balances review</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Volunteer and membership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Warehouse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Follow up of external audit management letter</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Follow up of previous spot check recommendations</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Cash and bank management</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2</w:t>
            </w:r>
          </w:p>
        </w:tc>
      </w:tr>
      <w:tr>
        <w:trPr>
          <w:jc w:val="center"/>
        </w:trPr>
        <w:tc>
          <w:tcPr>
            <w:tcW w:w="4501" w:type="dxa"/>
          </w:tcPr>
          <w:p>
            <w:pPr>
              <w:pStyle w:val="BodyText"/>
              <w:spacing w:before="120" w:after="120"/>
              <w:ind w:left="113"/>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Procurement review</w:t>
            </w:r>
          </w:p>
        </w:tc>
        <w:tc>
          <w:tcPr>
            <w:tcW w:w="2863" w:type="dxa"/>
          </w:tcPr>
          <w:p>
            <w:pPr>
              <w:pStyle w:val="BodyText"/>
              <w:spacing w:before="120" w:after="120"/>
              <w:ind w:left="113"/>
              <w:rPr>
                <w:rFonts w:asciiTheme="minorHAnsi" w:hAnsiTheme="minorHAnsi"/>
                <w:b w:val="off"/>
                <w:color w:val="070F13" w:themeColor="text1"/>
                <w:sz w:val="24"/>
                <w:szCs w:val="24"/>
              </w:rPr>
            </w:pP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c>
          <w:tcPr>
            <w:tcW w:w="1407"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0</w:t>
            </w:r>
          </w:p>
        </w:tc>
        <w:tc>
          <w:tcPr>
            <w:tcW w:w="1408" w:type="dxa"/>
          </w:tcPr>
          <w:p>
            <w:pPr>
              <w:pStyle w:val="BodyText"/>
              <w:spacing w:before="120" w:after="120"/>
              <w:jc w:val="center"/>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1</w:t>
            </w:r>
          </w:p>
        </w:tc>
      </w:tr>
      <w:tr>
        <w:trPr>
          <w:jc w:val="center"/>
        </w:trPr>
        <w:tc>
          <w:tcPr>
            <w:tcW w:w="4501" w:type="dxa"/>
            <w:shd w:val="clear" w:color="auto" w:fill="D7D7D7"/>
            <w:vAlign w:val="center"/>
          </w:tcPr>
          <w:p>
            <w:pPr>
              <w:pStyle w:val="BodyText"/>
              <w:spacing w:before="120" w:after="120"/>
              <w:ind w:left="113"/>
              <w:rPr>
                <w:color w:val="070F13" w:themeColor="text1"/>
                <w:sz w:val="24"/>
                <w:szCs w:val="24"/>
              </w:rPr>
            </w:pPr>
            <w:r>
              <w:rPr>
                <w:rFonts w:asciiTheme="minorHAnsi" w:hAnsiTheme="minorHAnsi"/>
                <w:color w:val="070F13" w:themeColor="text1"/>
                <w:sz w:val="24"/>
                <w:szCs w:val="24"/>
              </w:rPr>
              <w:t xml:space="preserve">TOTAL</w:t>
            </w:r>
          </w:p>
        </w:tc>
        <w:tc>
          <w:tcPr>
            <w:tcW w:w="2863" w:type="dxa"/>
            <w:shd w:val="clear" w:color="auto" w:fill="D7D7D7"/>
            <w:vAlign w:val="center"/>
          </w:tcPr>
          <w:p>
            <w:pPr>
              <w:pStyle w:val="BodyText"/>
              <w:spacing w:before="120" w:after="120"/>
              <w:ind w:left="113"/>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2</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12</w:t>
            </w:r>
          </w:p>
        </w:tc>
        <w:tc>
          <w:tcPr>
            <w:tcW w:w="1407"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0</w:t>
            </w:r>
          </w:p>
        </w:tc>
        <w:tc>
          <w:tcPr>
            <w:tcW w:w="1408" w:type="dxa"/>
            <w:shd w:val="clear" w:color="auto" w:fill="D7D7D7"/>
            <w:vAlign w:val="center"/>
          </w:tcPr>
          <w:p>
            <w:pPr>
              <w:pStyle w:val="BodyText"/>
              <w:spacing w:before="120" w:after="120"/>
              <w:jc w:val="center"/>
              <w:rPr>
                <w:color w:val="070F13" w:themeColor="text1"/>
                <w:sz w:val="24"/>
                <w:szCs w:val="24"/>
              </w:rPr>
            </w:pPr>
            <w:r>
              <w:rPr>
                <w:rFonts w:asciiTheme="minorHAnsi" w:hAnsiTheme="minorHAnsi"/>
                <w:color w:val="070F13" w:themeColor="text1"/>
                <w:sz w:val="24"/>
                <w:szCs w:val="24"/>
              </w:rPr>
              <w:t xml:space="preserve">9</w:t>
            </w:r>
          </w:p>
        </w:tc>
      </w:tr>
    </w:tbl>
    <w:p>
      <w:pPr>
        <w:tabs>
          <w:tab w:val="left" w:leader="none" w:pos="2496"/>
        </w:tabs>
        <w:rPr/>
        <w:sectPr>
          <w:type w:val="nextPage"/>
          <w:pgSz w:w="15840" w:h="12240" w:orient="landscape"/>
          <w:pgMar w:top="720" w:right="720" w:bottom="720" w:left="720" w:header="397" w:footer="397" w:gutter="0"/>
          <w:cols w:space="720"/>
          <w:textDirection w:val="lrTb"/>
          <w:bidi w:val="off"/>
        </w:sectPr>
      </w:pPr>
      <w:r>
        <w:rPr/>
        <w:t xml:space="preserve">  </w:t>
      </w:r>
    </w:p>
    <w:p>
      <w:pPr>
        <w:pStyle w:val="BodyText"/>
        <w:rPr>
          <w:rFonts w:ascii="Times"/>
          <w:b w:val="off"/>
        </w:rPr>
      </w:pPr>
      <w:r>
        <mc:AlternateContent>
          <mc:Choice Requires="wpg">
            <w:drawing>
              <wp:anchor distT="0" distB="0" distL="114300" distR="114300" simplePos="0" relativeHeight="14336" behindDoc="0" layoutInCell="1" allowOverlap="1" locked="0">
                <wp:simplePos x="0" y="0"/>
                <wp:positionH relativeFrom="page">
                  <wp:posOffset>457200</wp:posOffset>
                </wp:positionH>
                <wp:positionV relativeFrom="page">
                  <wp:posOffset>266700</wp:posOffset>
                </wp:positionV>
                <wp:extent cx="9119870" cy="574675"/>
                <wp:effectExtent l="0" t="0" r="5715" b="15875"/>
                <wp:wrapNone/>
                <wp:docPr id="19" name="Group 19"/>
                <wp:cNvGraphicFramePr/>
                <a:graphic xmlns:a="http://schemas.openxmlformats.org/drawingml/2006/main">
                  <a:graphicData uri="http://schemas.microsoft.com/office/word/2010/wordprocessingGroup">
                    <wpg:wgp>
                      <wpg:cNvGrpSpPr xmlns:wpg="http://schemas.microsoft.com/office/word/2010/wordprocessingGroup">
                        <a:grpSpLocks xmlns:a="http://schemas.openxmlformats.org/drawingml/2006/main"/>
                      </wpg:cNvGrpSpPr>
                      <wpg:grpSpPr xmlns:wpg="http://schemas.microsoft.com/office/word/2010/wordprocessingGroup" bwMode="auto">
                        <a:xfrm xmlns:a="http://schemas.openxmlformats.org/drawingml/2006/main">
                          <a:off x="0" y="0"/>
                          <a:ext cx="9119597" cy="574728"/>
                          <a:chOff x="2144" y="360"/>
                          <a:chExt cx="11536" cy="1138"/>
                        </a:xfrm>
                      </wpg:grpSpPr>
                      <wps:wsp>
                        <wps:cNvPr xmlns:wps="http://schemas.microsoft.com/office/word/2010/wordprocessingShape" id="34" name="Line 16"/>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9" y="360"/>
                            <a:ext cx="0" cy="1138"/>
                          </a:xfrm>
                          <a:prstGeom xmlns:a="http://schemas.openxmlformats.org/drawingml/2006/main" prst="line">
                            <a:avLst/>
                          </a:prstGeom>
                          <a:noFill xmlns:a="http://schemas.openxmlformats.org/drawingml/2006/main"/>
                          <a:ln xmlns:a="http://schemas.openxmlformats.org/drawingml/2006/main" w="635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s:wsp>
                        <wps:cNvPr xmlns:wps="http://schemas.microsoft.com/office/word/2010/wordprocessingShape" id="35" name="Line 15"/>
                        <wps:cNvCnPr xmlns:wps="http://schemas.microsoft.com/office/word/2010/wordprocessingShape">
                          <a:cxnSpLocks xmlns:a="http://schemas.openxmlformats.org/drawingml/2006/main" noChangeShapeType="1"/>
                        </wps:cNvCnPr>
                        <wps:spPr xmlns:wps="http://schemas.microsoft.com/office/word/2010/wordprocessingShape" bwMode="auto">
                          <a:xfrm xmlns:a="http://schemas.openxmlformats.org/drawingml/2006/main">
                            <a:off x="2144" y="1462"/>
                            <a:ext cx="11536" cy="0"/>
                          </a:xfrm>
                          <a:prstGeom xmlns:a="http://schemas.openxmlformats.org/drawingml/2006/main" prst="line">
                            <a:avLst/>
                          </a:prstGeom>
                          <a:noFill xmlns:a="http://schemas.openxmlformats.org/drawingml/2006/main"/>
                          <a:ln xmlns:a="http://schemas.openxmlformats.org/drawingml/2006/main" w="45720">
                            <a:solidFill>
                              <a:srgbClr val="53529F"/>
                            </a:solidFill>
                            <a:prstDash val="solid"/>
                            <a:round/>
                            <a:headEnd/>
                            <a:tailEnd/>
                          </a:ln>
                          <a:extLst xmlns:a="http://schemas.openxmlformats.org/drawingml/2006/main">
                            <a:ext uri="{909E8E84-426E-40DD-AFC4-6F175D3DCCD1}">
                              <a14:hiddenFill xmlns:a14="http://schemas.microsoft.com/office/drawing/2010/main">
                                <a:noFill/>
                              </a14:hiddenFill>
                            </a:ext>
                          </a:extLst>
                        </wps:spPr>
                        <wps:bodyPr xmlns:wps="http://schemas.microsoft.com/office/word/2010/wordprocessingShape"/>
                      </wps:wsp>
                    </wpg:wgp>
                  </a:graphicData>
                </a:graphic>
              </wp:anchor>
            </w:drawing>
          </mc:Choice>
          <mc:Fallback xmlns:mc="http://schemas.openxmlformats.org/markup-compatibility/2006">
            <w:pict xmlns:w="http://schemas.openxmlformats.org/wordprocessingml/2006/main">
              <v:group xmlns:v="urn:schemas-microsoft-com:vml" xmlns:w14="http://schemas.microsoft.com/office/word/2010/wordml" xmlns:o="urn:schemas-microsoft-com:office:office" w14:anchorId="3E862462" id="Group 33" o:spid="_x0000_s1026" style="position:absolute;margin-left:36pt;margin-top:21pt;width:718.1pt;height:45.25pt;z-index:251708416;mso-position-horizontal-relative:page;mso-position-vertical-relative:page" coordorigin="2144,360" coordsize="11536,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">
                <v:line id="Line 16" o:spid="_x0000_s1027" style="position:absolute;visibility:visible;mso-wrap-style:square" from="2149,360" to="2149,14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JnSTMQAAADbAAAADwAAAGRycy9kb3ducmV2LnhtbESPQWvCQBSE7wX/w/IEb3VjLcWmboKU&#10;BLyJaa0eH9nXJJp9G7Krif++Wyj0OMzMN8w6HU0rbtS7xrKCxTwCQVxa3XCl4PMjf1yBcB5ZY2uZ&#10;FNzJQZpMHtYYazvwnm6Fr0SAsItRQe19F0vpypoMurntiIP3bXuDPsi+krrHIcBNK5+i6EUabDgs&#10;1NjRe03lpbgaBeevw37YZfk43E2enTI6Fq87Vmo2HTdvIDyN/j/8195qBctn+P0SfoBMf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mdJMxAAAANsAAAAPAAAAAAAAAAAA&#10;AAAAAKECAABkcnMvZG93bnJldi54bWxQSwUGAAAAAAQABAD5AAAAkgMAAAAA&#10;" strokecolor="#53529f" strokeweight=".5pt"/>
                <v:line id="Line 15" o:spid="_x0000_s1028" style="position:absolute;visibility:visible;mso-wrap-style:square" from="2144,1462" to="13680,146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OV68QAAADbAAAADwAAAGRycy9kb3ducmV2LnhtbESPT2vCQBTE7wW/w/KE3upGWxuNrlIC&#10;BW/S2IPHR/aZBLNvQ3bzRz+9WxB6HGbmN8x2P5pa9NS6yrKC+SwCQZxbXXGh4Pf0/bYC4Tyyxtoy&#10;KbiRg/1u8rLFRNuBf6jPfCEChF2CCkrvm0RKl5dk0M1sQxy8i20N+iDbQuoWhwA3tVxE0ac0WHFY&#10;KLGhtKT8mnVGQXpbdnOO1x/1/Xx39uyqY9ylSr1Ox68NCE+j/w8/2wet4H0Jf1/CD5C7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I5XrxAAAANsAAAAPAAAAAAAAAAAA&#10;AAAAAKECAABkcnMvZG93bnJldi54bWxQSwUGAAAAAAQABAD5AAAAkgMAAAAA&#10;" strokecolor="#53529f" strokeweight="3.6pt"/>
                <w10:wrap xmlns:w10="urn:schemas-microsoft-com:office:word" anchorx="page" anchory="page"/>
              </v:group>
            </w:pict>
          </mc:Fallback>
        </mc:AlternateContent>
      </w:r>
    </w:p>
    <w:p>
      <w:pPr>
        <w:pStyle w:val="BodyText"/>
        <w:rPr>
          <w:rFonts w:ascii="Times"/>
          <w:b w:val="off"/>
        </w:rPr>
      </w:pPr>
    </w:p>
    <w:p>
      <w:pPr>
        <w:pStyle w:val="BodyText"/>
        <w:rPr>
          <w:rFonts w:ascii="Times"/>
          <w:b w:val="off"/>
        </w:rPr>
      </w:pPr>
    </w:p>
    <w:p>
      <w:pPr>
        <w:pStyle w:val="BodyText"/>
        <w:rPr>
          <w:rFonts w:ascii="Times"/>
          <w:b w:val="off"/>
        </w:rPr>
      </w:pPr>
      <w:r>
        <w:drawing>
          <wp:anchor distT="0" distB="0" distL="114300" distR="114300" simplePos="0" relativeHeight="3072" behindDoc="1" layoutInCell="1" allowOverlap="1" locked="0">
            <wp:simplePos x="0" y="0"/>
            <wp:positionH relativeFrom="page">
              <wp:posOffset>485775</wp:posOffset>
            </wp:positionH>
            <wp:positionV relativeFrom="page">
              <wp:posOffset>327660</wp:posOffset>
            </wp:positionV>
            <wp:extent cx="4708525" cy="464185"/>
            <wp:effectExtent l="0" t="0" r="15875" b="12065"/>
            <wp:wrapNone/>
            <wp:docPr id="20" name="Shape 20"/>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4708800" cy="464400"/>
                    </a:xfrm>
                    <a:prstGeom xmlns:a="http://schemas.openxmlformats.org/drawingml/2006/main" prst="rect">
                      <a:avLst/>
                    </a:prstGeom>
                    <a:noFill xmlns:a="http://schemas.openxmlformats.org/drawingml/2006/main"/>
                    <a:ln xmlns:a="http://schemas.openxmlformats.org/drawingml/2006/main">
                      <a:noFill/>
                    </a:ln>
                    <a:extLst xmlns:a="http://schemas.openxmlformats.org/drawingml/2006/main">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pPr>
                          <w:pStyle w:val="PageHeading"/>
                          <w:ind w:left="57"/>
                          <w:rPr>
                            <w:color w:val="53529F"/>
                          </w:rPr>
                        </w:pPr>
                        <w:bookmarkStart w:id="4" w:name="_Toc105920440"/>
                        <w:r>
                          <w:rPr>
                            <w:color w:val="53529F"/>
                          </w:rPr>
                          <w:t xml:space="preserve">Summary of Issues</w:t>
                        </w:r>
                        <w:bookmarkEnd w:id="4"/>
                      </w:p>
                    </w:txbxContent>
                  </wps:txbx>
                  <w10:wrap anchorx="page" anchory="page"/>
                  <wps:bodyPr xmlns:wps="http://schemas.microsoft.com/office/word/2010/wordprocessingShape" rot="0" vert="horz" wrap="square" lIns="0" tIns="0" rIns="0" bIns="0" anchor="t" anchorCtr="0" upright="1">
                    <a:noAutofit xmlns:a="http://schemas.openxmlformats.org/drawingml/2006/main"/>
                  </wps:bodyPr>
                </wps:wsp>
              </a:graphicData>
            </a:graphic>
          </wp:anchor>
        </w:drawing>
      </w:r>
    </w:p>
    <w:p>
      <w:pPr>
        <w:pStyle w:val="BodyText"/>
        <w:rPr>
          <w:rFonts w:ascii="Times"/>
          <w:b w:val="off"/>
        </w:rPr>
      </w:pPr>
    </w:p>
    <w:p>
      <w:pPr>
        <w:pStyle w:val="BodyText"/>
        <w:rPr>
          <w:rFonts w:ascii="Times"/>
          <w:b w:val="off"/>
        </w:rPr>
      </w:pPr>
    </w:p>
    <w:tbl>
      <w:tblPr>
        <w:tblW w:w="4923" w:type="pct"/>
        <w:jc w:val="center"/>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Look w:firstRow="off" w:lastRow="off" w:firstColumn="off" w:lastColumn="off" w:noHBand="off" w:noVBand="off"/>
      </w:tblPr>
      <w:tblGrid>
        <w:gridCol w:w="1891"/>
        <w:gridCol w:w="4951"/>
        <w:gridCol w:w="2614"/>
        <w:gridCol w:w="2337"/>
        <w:gridCol w:w="2385"/>
      </w:tblGrid>
      <w:tr>
        <w:trPr>
          <w:cantSplit w:val="on"/>
          <w:tblHeader w:val="on"/>
          <w:jc w:val="center"/>
        </w:trPr>
        <w:tc>
          <w:tcPr>
            <w:tcW w:w="667"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Issue ID</w:t>
            </w:r>
          </w:p>
        </w:tc>
        <w:tc>
          <w:tcPr>
            <w:tcW w:w="1746"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Title/Headline</w:t>
            </w:r>
          </w:p>
        </w:tc>
        <w:tc>
          <w:tcPr>
            <w:tcW w:w="922"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Owner</w:t>
            </w:r>
          </w:p>
        </w:tc>
        <w:tc>
          <w:tcPr>
            <w:tcW w:w="824"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Severity</w:t>
            </w:r>
          </w:p>
        </w:tc>
        <w:tc>
          <w:tcPr>
            <w:tcW w:w="841" w:type="pct"/>
            <w:shd w:val="clear" w:color="auto" w:fill="53529F"/>
            <w:vAlign w:val="center"/>
          </w:tcPr>
          <w:p>
            <w:pPr>
              <w:pStyle w:val="BodyText"/>
              <w:spacing w:before="120" w:after="120"/>
              <w:rPr>
                <w:rFonts w:asciiTheme="minorHAnsi" w:hAnsiTheme="minorHAnsi"/>
                <w:color w:val="FFFFFF" w:themeColor="background1"/>
                <w:sz w:val="24"/>
                <w:szCs w:val="24"/>
              </w:rPr>
            </w:pPr>
            <w:r>
              <w:rPr>
                <w:rFonts w:asciiTheme="minorHAnsi" w:hAnsiTheme="minorHAnsi"/>
                <w:color w:val="FFFFFF" w:themeColor="background1"/>
                <w:sz w:val="24"/>
                <w:szCs w:val="24"/>
              </w:rPr>
              <w:t xml:space="preserve">Remediation Deadline</w:t>
            </w: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F1</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Non-Achievement of the 25% Surplus Benchmark</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F2</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Inaccurate opening balances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Branch accountant</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F3</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Non-achievement of branch membership threshold</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CC-Branches</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F4</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Lack of signed code of conduct among volunteers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F5</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Inventory listing lacking valuation details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RFO and Branch Accountants</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F6</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Long-outstanding items in bank reconciliation</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Branch Accountant and 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F7</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Late preparation of bank reconciliations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Branch Accountants &amp; RFO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High</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F8</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Outstanding external audit matters</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Fleet and Lands Officers</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r>
        <w:trPr>
          <w:cantSplit w:val="on"/>
          <w:jc w:val="center"/>
        </w:trPr>
        <w:tc>
          <w:tcPr>
            <w:tcW w:w="667"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F9</w:t>
            </w:r>
          </w:p>
        </w:tc>
        <w:tc>
          <w:tcPr>
            <w:tcW w:w="1746"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Procurement review (Investigation)</w:t>
            </w:r>
          </w:p>
        </w:tc>
        <w:tc>
          <w:tcPr>
            <w:tcW w:w="922"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CC, RSCMO</w:t>
            </w:r>
          </w:p>
        </w:tc>
        <w:tc>
          <w:tcPr>
            <w:tcW w:w="824" w:type="pct"/>
            <w:shd w:val="clear" w:color="auto" w:fill="auto"/>
          </w:tcPr>
          <w:p>
            <w:pPr>
              <w:pStyle w:val="BodyText"/>
              <w:spacing w:before="120" w:after="120"/>
              <w:rPr>
                <w:rFonts w:asciiTheme="minorHAnsi" w:hAnsiTheme="minorHAnsi"/>
                <w:b w:val="off"/>
                <w:color w:val="070F13" w:themeColor="text1"/>
                <w:sz w:val="24"/>
                <w:szCs w:val="24"/>
              </w:rPr>
            </w:pPr>
            <w:r>
              <w:rPr>
                <w:rFonts w:asciiTheme="minorHAnsi" w:hAnsiTheme="minorHAnsi"/>
                <w:b w:val="off"/>
                <w:color w:val="070F13" w:themeColor="text1"/>
                <w:sz w:val="24"/>
                <w:szCs w:val="24"/>
              </w:rPr>
              <w:t xml:space="preserve">Medium</w:t>
            </w:r>
          </w:p>
        </w:tc>
        <w:tc>
          <w:tcPr>
            <w:tcW w:w="841" w:type="pct"/>
            <w:shd w:val="clear" w:color="auto" w:fill="auto"/>
          </w:tcPr>
          <w:p>
            <w:pPr>
              <w:pStyle w:val="BodyText"/>
              <w:spacing w:before="120" w:after="120"/>
              <w:rPr>
                <w:rFonts w:asciiTheme="minorHAnsi" w:hAnsiTheme="minorHAnsi"/>
                <w:b w:val="off"/>
                <w:color w:val="070F13" w:themeColor="text1"/>
                <w:sz w:val="24"/>
                <w:szCs w:val="24"/>
              </w:rPr>
            </w:pPr>
          </w:p>
        </w:tc>
      </w:tr>
    </w:tbl>
    <w:p>
      <w:pPr>
        <w:rPr>
          <w:b w:val="on"/>
          <w:bCs/>
        </w:rPr>
        <w:sectPr>
          <w:headerReference w:type="default" r:id="rId22"/>
          <w:type w:val="nextPage"/>
          <w:pgSz w:w="15840" w:h="12240" w:orient="landscape"/>
          <w:pgMar w:top="720" w:right="720" w:bottom="720" w:left="720" w:header="397" w:footer="397" w:gutter="0"/>
          <w:cols w:space="720"/>
          <w:textDirection w:val="lrTb"/>
          <w:bidi w:val="off"/>
        </w:sectPr>
      </w:pPr>
    </w:p>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5" w:name="_Toc1660742908"/>
            <w:r>
              <w:rPr/>
              <w:t xml:space="preserve"> F1 Non-Achievement of the 25% Surplus Benchmark</w:t>
            </w:r>
            <w:bookmarkEnd w:id="5"/>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Current year's performance</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sz w:val="20"/>
                <w:szCs w:val="20"/>
              </w:rPr>
              <w:t xml:space="preserve">CC</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17,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According to NEC's minimum standards for a well functioning branch, each branch is required to retain a minimum surplus of 25% of total income for investment purposes.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review revealed that the branches did not achieve the required surplus of 25% of the total income for the period under review. Analysis of the financial statements indicated that the branch generated a surplus below the expected threshold, contrary to organizational financial performance targets. An analysis of the same is as per below: </w:t>
            </w:r>
          </w:p>
          <w:tbl>
            <w:tblPr>
              <w:tblW w:w="878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283"/>
              <w:gridCol w:w="1675"/>
              <w:gridCol w:w="1675"/>
              <w:gridCol w:w="1802"/>
              <w:gridCol w:w="2345"/>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Income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Expenditure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Surplus/ (Deficit)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Surplus/(Deficit) as a percentage of income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Kirinyaga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3,607,404.00 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3,046,012.92 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561,391.08 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15.56%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Murang'a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1,815,255.00 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1,639,185.00 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176,070.00 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9.70%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Kiambu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2,630,262.00 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2,576,787.05 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53,474.95 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2.03%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Embu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2,960,681.00 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2,966,947.00 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(6,266.00)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-0.21%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Nyeri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3,210,813.75 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6,124,522.35 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(2,913,708.60)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-90.75%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Low revenue generation from branch income streams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Ineffective budget monitoring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Failure to achieve the required surplus reduces the branch’s financial sustainability and may limit its capacity to fund core activities, respond to emergencies, or contribute to organizational objectives. It also increases reliance on headquarters for operational support.</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Strengthening revenue-generation strategies to enhance income.</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Improve financial monitoring to ensure timely detection of budget variances.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6" w:name="_Toc386747121"/>
            <w:r>
              <w:rPr/>
              <w:t xml:space="preserve"> F2 Inaccurate opening balances</w:t>
            </w:r>
            <w:bookmarkEnd w:id="6"/>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Opening balances review</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Branch accountant</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Good accounting practices  dictates that opening balances should agree with the prior year’s audited financial statements to ensure continuity, accuracy, and reliability of financial reporting.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review verified that the opening balances in the current year’s financial records were consistent with the closing balances reported in the previous year’s audited accounts. No material variances  were noted between the two sets of figures.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 Murang'a branch </w:t>
            </w:r>
          </w:p>
          <w:tbl>
            <w:tblPr>
              <w:tblW w:w="772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2115"/>
              <w:gridCol w:w="1978"/>
              <w:gridCol w:w="1828"/>
              <w:gridCol w:w="1799"/>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Fund balances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Signed Accounts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Opening TB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Difference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Revaluation 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25,173,250.00 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28,130,800.00 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0000"/>
                      <w:spacing w:val="0"/>
                      <w:w w:val="100"/>
                      <w:kern w:val="0"/>
                      <w:position w:val="0"/>
                      <w:sz w:val="24"/>
                      <w:szCs w:val="24"/>
                      <w:vertAlign w:val="baseline"/>
                    </w:rPr>
                    <w:t xml:space="preserve">(2,957,550.00)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Capital 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2,272,590.00 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1,300,627.00 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0000"/>
                      <w:spacing w:val="0"/>
                      <w:w w:val="100"/>
                      <w:kern w:val="0"/>
                      <w:position w:val="0"/>
                      <w:sz w:val="24"/>
                      <w:szCs w:val="24"/>
                      <w:vertAlign w:val="baseline"/>
                    </w:rPr>
                    <w:t xml:space="preserve">971,963.00 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General fund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275,145.01 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(1,642,442.00)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0000"/>
                      <w:spacing w:val="0"/>
                      <w:w w:val="100"/>
                      <w:kern w:val="0"/>
                      <w:position w:val="0"/>
                      <w:sz w:val="24"/>
                      <w:szCs w:val="24"/>
                      <w:vertAlign w:val="baseline"/>
                    </w:rPr>
                    <w:t xml:space="preserve">1,917,587.01 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27,720,985.01 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27,788,985.00 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0000"/>
                      <w:spacing w:val="0"/>
                      <w:w w:val="100"/>
                      <w:kern w:val="0"/>
                      <w:position w:val="0"/>
                      <w:sz w:val="24"/>
                      <w:szCs w:val="24"/>
                      <w:vertAlign w:val="baseline"/>
                    </w:rPr>
                    <w:t xml:space="preserve">(67,999.99)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(ii.) Kiambu branch </w:t>
            </w:r>
          </w:p>
          <w:tbl>
            <w:tblPr>
              <w:tblW w:w="772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2154"/>
              <w:gridCol w:w="1964"/>
              <w:gridCol w:w="1801"/>
              <w:gridCol w:w="1801"/>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Fund balances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Signed Accounts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Opening TB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Difference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Revaluation 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122,938.00 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7,657,400.00 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0000"/>
                      <w:spacing w:val="0"/>
                      <w:w w:val="100"/>
                      <w:kern w:val="0"/>
                      <w:position w:val="0"/>
                      <w:sz w:val="24"/>
                      <w:szCs w:val="24"/>
                      <w:vertAlign w:val="baseline"/>
                    </w:rPr>
                    <w:t xml:space="preserve">(7,534,462.00)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Capital 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6,944,692.00 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2,235,804.00 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0000"/>
                      <w:spacing w:val="0"/>
                      <w:w w:val="100"/>
                      <w:kern w:val="0"/>
                      <w:position w:val="0"/>
                      <w:sz w:val="24"/>
                      <w:szCs w:val="24"/>
                      <w:vertAlign w:val="baseline"/>
                    </w:rPr>
                    <w:t xml:space="preserve">4,708,888.00 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Special reserve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(2,889,711.95)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0000"/>
                      <w:spacing w:val="0"/>
                      <w:w w:val="100"/>
                      <w:kern w:val="0"/>
                      <w:position w:val="0"/>
                      <w:sz w:val="24"/>
                      <w:szCs w:val="24"/>
                      <w:vertAlign w:val="baseline"/>
                    </w:rPr>
                    <w:t xml:space="preserve">2,889,711.95 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General fund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(201,137.95)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0000"/>
                      <w:spacing w:val="0"/>
                      <w:w w:val="100"/>
                      <w:kern w:val="0"/>
                      <w:position w:val="0"/>
                      <w:sz w:val="24"/>
                      <w:szCs w:val="24"/>
                      <w:vertAlign w:val="baseline"/>
                    </w:rPr>
                    <w:t xml:space="preserve">(201,137.95)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Totals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6,866,492.05 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7,003,492.05 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FF0000"/>
                      <w:spacing w:val="0"/>
                      <w:w w:val="100"/>
                      <w:kern w:val="0"/>
                      <w:position w:val="0"/>
                      <w:sz w:val="24"/>
                      <w:szCs w:val="24"/>
                      <w:vertAlign w:val="baseline"/>
                    </w:rPr>
                    <w:t xml:space="preserve">(137,000.00)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year-end procedures and lack of proper reconciliation between the prior year’s audited figures and the system-generated opening balances.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If opening balances are inaccurate, all subsequent transactions relying on these balances may be misstated, resulting in unreliable financial statements for the period.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Incorrect opening balances can lead to overstated or understated assets, liabilities, income, or expenses. This compromises management’s ability to assess true financial performance and make informed decisions.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 accountant and the RFO should ensure that the opening balances are reconciled to the prior year’s audited closing balances before posting new-year transactions. All adjustments should be documented, reviewed, and approved. The finance team should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strengthen year-end closing procedures and establish a control checklist to verify completeness and accuracy of carried-forward balances.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7" w:name="_Toc1100782544"/>
            <w:r>
              <w:rPr/>
              <w:t xml:space="preserve"> F3 Non-achievement of branch membership threshold</w:t>
            </w:r>
            <w:bookmarkEnd w:id="7"/>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Volunteer and membership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CC-Branches</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According to KRCS minimum standards for a functioning branch, each branch is required to recruit and sustain a membership level of not less than 3% of the county population. The members must be a good diversity in terms of age, gender, tribe, social attributes and religion. Additionally, quarterly membership meetings must be held.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review established that several branches have not achieved the organizational target of maintaining a membership base equivalent to at least 3% of the total population of their respective counties. Analysis of membership records against county population data revealed that actual membership levels were significantly below the required threshold in all the branches as seen in the table below:</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674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287"/>
              <w:gridCol w:w="1678"/>
              <w:gridCol w:w="1651"/>
              <w:gridCol w:w="2124"/>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Population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Membership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Membership as a % of the population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Embu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608,599.00 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823.00 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0.14%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Kirinyaga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610,411.00 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487.00 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0.08%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Nyeri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759,164.00 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405.00 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0.05%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Murang'a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1,056,640.00 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999.00 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0.09%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Limited membership mobilization initiatives.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Insufficient monitoring of membership performance.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Lower membership revenue, affecting branch operational sustainability.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Reduced representation of the community within branch.</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Branch leadership should strengthen membership recruitment and retention strategies by implementing targeted outreach campaigns, community engagement forums, and collaboration with local institutions. A structured membership growth plan should be developed for each branch, including periodic monitoring and reporting to the National Office. Additionally, the National Office should provide guidance, tools, and capacity building to support branches in achieving the required 1% membership threshold.</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8" w:name="_Toc287931530"/>
            <w:r>
              <w:rPr/>
              <w:t xml:space="preserve"> F4 Lack of signed code of conduct among volunteers</w:t>
            </w:r>
            <w:bookmarkEnd w:id="8"/>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Volunteer and membership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Best practices in volunteer management requires that all volunteers sign a Code of Conduct before taking up any assignments. This establishes clear expectations regarding behaviour, ethical conduct, and accountability, and helps safeguard both the volunteers and the organization.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review noted that volunteers engaged across various branches have not been signing the organization’s code of conduct. A review of volunteer files revealed that many active volunteers do not have signed code of conduct forms on record.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Weak on boarding procedures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Without a signed Code of Conduct, volunteers may not feel obligated to adhere to expected ethical and professional standards, increasing the risk of misconduct.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 the absence of documented acknowledgement, it becomes difficult for management to enforce disciplinary action when breaches occur, as there is no evidence that the volunteer agreed to the rules.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 should implement a mandatory process requiring all volunteers to sign the code of conduct before starting any duties. All active and newly recruited volunteers should sign the document as part of on boarding, and copies should be securely filed in their volunteer records. Management should also establish periodic compliance checks and conduct refresher briefings to reinforce awareness of expected ethical standards.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9" w:name="_Toc864235586"/>
            <w:r>
              <w:rPr/>
              <w:t xml:space="preserve"> F5 Inventory listing lacking valuation details</w:t>
            </w:r>
            <w:bookmarkEnd w:id="9"/>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Warehouse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RFO and Branch Accountants</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IAS 2 (Inventories) provides guidance for determining the cost of inventories and the subsequent recognition of the cost as an expense, including any write-down to net realizable value.  It also provides guidance on the cost formulas that are used to assign costs to inventories. Best practice in inventory management requires that an inventory listing includes complete information i.e. Item description, quantity, unit cost, and total value to ensure accurate financial reporting, proper inventory control, and effective decision-making.</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review noted that the inventory listing maintained by the branches does not include valuation details. The listing contains only item descriptions and quantities, with no corresponding unit costs or total values. As a result, the total value of inventory on hand cannot be readily determined from the available records. In addition to that, inventory has not been recognized in the financials of the branches.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Lack of integration between warehouse records and the finance or procurement systems.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Inability to determine the total value of inventory held at any given time.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Potential misstatement of inventory in financial reports.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Weak inventory management due to lack of cost visibility.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risk of undetected losses, theft, or obsolete items since value impact is not tracked.</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ensure that the inventory listing includes unit prices and total values for all items. The warehouse team should work with finance to update the listing and establish a standardized format capturing quantity, unit cost, valuation, and movement history. Staff should also be trained on maintaining complete and accurate inventory records. Regular reconciliations between physical stock, warehouse listings, and financial records should be performed.</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0" w:name="_Toc831425836"/>
            <w:r>
              <w:rPr/>
              <w:t xml:space="preserve"> F6 Long-outstanding items in bank reconciliation</w:t>
            </w:r>
            <w:bookmarkEnd w:id="10"/>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Cash and bank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Branch Accountant and 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Best practice requires that outstanding checks be monitored and resolved promptly, typically within 90 days, to ensure accurate financial reporting and prevent potential misstatements.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review of the bank reconciliation process noted that there are outstanding cheques that have remained unreconciled for more than six (6) months. These cheques continue to appear in the reconciliation statements without being cleared or investigated as per below:</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Embu </w:t>
            </w:r>
          </w:p>
          <w:tbl>
            <w:tblPr>
              <w:tblW w:w="1316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890"/>
              <w:gridCol w:w="2200"/>
              <w:gridCol w:w="4545"/>
              <w:gridCol w:w="2124"/>
              <w:gridCol w:w="1284"/>
              <w:gridCol w:w="1117"/>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Transaction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Cheque/Receipt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Description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Reconciliation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Ageing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Days old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31-Dec-24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PV549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Monthly internet subscription for October and Nov 2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212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Kirinyaga </w:t>
            </w:r>
          </w:p>
          <w:tbl>
            <w:tblPr>
              <w:tblW w:w="1316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832"/>
              <w:gridCol w:w="2158"/>
              <w:gridCol w:w="4540"/>
              <w:gridCol w:w="2066"/>
              <w:gridCol w:w="1491"/>
              <w:gridCol w:w="1073"/>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Transaction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Cheque/Receipt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Description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Reconciliation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Ageing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Days </w:t>
                  </w: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old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28-Nov-24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PV 09/24 A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Vol Allow for Attending Finance Coord&amp; Burial Cove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(11,200.00)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28-Nov-24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PV 09/24 B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Patrons meeting allow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28-Nov-24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PV 09/24 C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Fuel Refund during distribution of cert in Sch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(5,100.00)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28-Nov-24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PV 09/24 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Fuel refund during former RM burial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(6,000.00)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28-Nov-24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PV 09/24 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Perdiem&amp;travel(Auditspot check/Finance Meeting)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(66,100.00)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28-Nov-24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PV 09/24F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MPesa Charges For CHQ 68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(68.00)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245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Kiambu </w:t>
            </w:r>
          </w:p>
          <w:tbl>
            <w:tblPr>
              <w:tblW w:w="1316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936"/>
              <w:gridCol w:w="2232"/>
              <w:gridCol w:w="4291"/>
              <w:gridCol w:w="2169"/>
              <w:gridCol w:w="1380"/>
              <w:gridCol w:w="1152"/>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Transaction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Cheque/Receipt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Description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Reconciliation date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Ageing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Days old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31-May-24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ADJ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KENYA RED CROSS SOCIETY KIAMBU 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31-Aug-25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3,066.00 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245 </w:t>
                  </w:r>
                </w:p>
              </w:tc>
            </w:tr>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21-Jan-25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PV 25/003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Utilities-elec,water, others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31-Aug-25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(3,305.00)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222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Inadequate follow-up with vendors and insufficient review of aged items during the reconciliation process.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Increased risk of financial misstatement in cash balances.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Potential for duplicate payments or fraud if checks are lost or misappropriated.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Reduced accuracy and reliability of financial records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Investigate all checks outstanding for more than 180 days and take appropriate corrective action (e.g., cancel and reissue if necessary).</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Strengthen the reconciliation process by implementing an aging review of outstanding items.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1" w:name="_Toc783828710"/>
            <w:r>
              <w:rPr/>
              <w:t xml:space="preserve"> F7 Late preparation of bank reconciliations</w:t>
            </w:r>
            <w:bookmarkEnd w:id="11"/>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Cash and bank management</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Branch Accountants &amp; RFO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High</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19,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Late preparation of bank reconciliation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Clause 4.12 of the finance manual states that all KRCS bank accounts must be reconciled with the balance in the cashbook monthly within 15 days of subsequent month</w:t>
            </w: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reconciliation statement must detail all outstanding payments, credits, debits that fully explains any differences between the balances.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review of bank reconciliation processes for the period under review noted that reconciliations for several bank accounts were not prepared within the stipulated timeline of 15th of the following month as per below:</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w:t>
            </w:r>
          </w:p>
          <w:tbl>
            <w:tblPr>
              <w:tblW w:w="8640" w:type="dxa"/>
              <w:tblBorders>
                <w:top w:val="nil" w:sz="0" w:color="000000"/>
                <w:left w:val="nil" w:sz="0" w:color="000000"/>
                <w:bottom w:val="nil" w:sz="0" w:color="000000"/>
                <w:right w:val="nil" w:sz="0" w:color="000000"/>
                <w:insideH w:val="nil" w:sz="0" w:color="000000"/>
                <w:insideV w:val="nil" w:sz="0" w:color="000000"/>
              </w:tblBorders>
              <w:tblLayout w:type="autofit"/>
            </w:tblPr>
            <w:tblGrid>
              <w:gridCol w:w="1317"/>
              <w:gridCol w:w="1278"/>
              <w:gridCol w:w="1351"/>
              <w:gridCol w:w="1358"/>
              <w:gridCol w:w="1679"/>
              <w:gridCol w:w="1657"/>
            </w:tblGrid>
            <w:tr>
              <w:trPr/>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Branch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Bank No.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Month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Deadline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Date prepared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Ageing(Days) </w:t>
                  </w:r>
                </w:p>
              </w:tc>
            </w:tr>
            <w:tr>
              <w:trPr/>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Embu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BNKCE51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30-Jun-25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106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15-Aug-25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75 </w:t>
                  </w:r>
                </w:p>
              </w:tc>
            </w:tr>
            <w:tr>
              <w:trPr/>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Kirinyaga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BNKCE48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31-May-25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15-Jun-25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117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30-Jun-25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87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17-Aug-25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54 </w:t>
                  </w:r>
                </w:p>
              </w:tc>
            </w:tr>
            <w:tr>
              <w:trPr/>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Nyeri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BNKCE54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31-May-25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15-Jun-25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136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30-Jun-25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106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17-Aug-25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73 </w:t>
                  </w:r>
                </w:p>
              </w:tc>
            </w:tr>
            <w:tr>
              <w:trPr/>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Murang'a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BNKCE46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30-Jun-25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106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17-Aug-25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73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01-Aug-25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18-Sep-25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29-Oct-25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41 </w:t>
                  </w:r>
                </w:p>
              </w:tc>
            </w:tr>
            <w:tr>
              <w:trPr/>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Kiambu </w:t>
                  </w:r>
                </w:p>
              </w:tc>
              <w:tc>
                <w:tcPr>
                  <w:tcW w:w="0" w:type="auto"/>
                  <w:vMerge w:val="restart"/>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BNKCE50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31-May-25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15-Jun-25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131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30-Jun-25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15-Jul-25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101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31-Jul-25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17-Aug-25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24-Oct-25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68 </w:t>
                  </w:r>
                </w:p>
              </w:tc>
            </w:tr>
            <w:tr>
              <w:trPr/>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vMerge w:val="continue"/>
                  <w:tcBorders>
                    <w:top w:val="nil" w:sz="0" w:color="000000"/>
                    <w:left w:val="nil" w:sz="0" w:color="000000"/>
                    <w:bottom w:val="nil" w:sz="0" w:color="000000"/>
                    <w:right w:val="nil" w:sz="0" w:color="000000"/>
                    <w:insideH w:val="nil" w:sz="0" w:color="000000"/>
                    <w:insideV w:val="nil" w:sz="0" w:color="000000"/>
                  </w:tcBorders>
                </w:tcP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01-Aug-25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18-Sep-25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28-Oct-25 </w:t>
                  </w:r>
                </w:p>
              </w:tc>
              <w:tc>
                <w:tcPr>
                  <w:tcW w:w="0" w:type="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00000"/>
                      <w:spacing w:val="0"/>
                      <w:w w:val="100"/>
                      <w:kern w:val="0"/>
                      <w:position w:val="0"/>
                      <w:sz w:val="24"/>
                      <w:szCs w:val="24"/>
                      <w:vertAlign w:val="baseline"/>
                    </w:rPr>
                    <w:t xml:space="preserve">40 </w:t>
                  </w:r>
                </w:p>
              </w:tc>
            </w:tr>
          </w:tbl>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delay was primarily due to system-related issues, which affected the processing of reconciliation data.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Late preparation of bank reconciliations increases the risk of:</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Undetected errors or fraudulent transactions.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Misstatement of financial records.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Non-compliance with internal policies and regulatory requirements.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ensure that bank reconciliations are prepared and reviewed within the stipulated timelines by:</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Addressing system reliability issues and implementing contingency measures.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Establishing automated alerts for delays caused by system downtime.</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Periodically monitoring compliance with reconciliation timelines.</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2" w:name="_Toc1861546071"/>
            <w:r>
              <w:rPr/>
              <w:t xml:space="preserve"> F8 Outstanding external audit matters</w:t>
            </w:r>
            <w:bookmarkEnd w:id="12"/>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Follow up of external audit management letter</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Fleet and Lands Officers</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18,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external auditor noted a number of issues with carious recommendations as per below:</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1. Motor vehicle logbooks in third party name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Some motor vehicles that were under the county regions whose logbooks were in the name of International Federation of Red Cross Crescent Societies (IFRC) rather than the Kenya Red Cross Society. These vehicles were: KX18A264 Toyota Land cruiser booked under KRCS Laikipia county branch and KX18A252 Toyota Land cruiser booked under KRCS Central Region Office.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Action taken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At the moment of purchase of these vehicles, there was issue with the process of transfer on the e-citizen system. The system has since been updated and follow up of the same is still being done.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Resolution: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Not closed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2. Lack of title deeds on land ownership</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Some central region branches don’t possess the legal ownership document such as the title deeds and purchase agreements yet they have recognized the land in their books of accounts. In addition to that, some of these branches have done some developments in the said lands. Some of the county branches that had these lands without legal ownership documents are as follows. KRCS Central Region Office, KRCS Kiambu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county branch, KRCS Embu county branch, KRCS Nyeri county branch and KRCS Murang’a county branch.</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Action taken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The lands officer at the HQ has been following up on the matter.</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Resolution: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Not closed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3. Lack of stock listing for the merchandise items and fundraising forms for fundraising income.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branches bought a lot of merchandise items such as T shirts and hoodies yet there were however no records maintained to show the movement of the items purchased during the year. In a addition to that, the branches engaged in fundraising activities during the year but they did not have most of the fundraising forms returned by the schools and other donating organizations nor did we have a list of forms issued to what was returned back.</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Action taken: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branches keep records of forms issued and those that were not returned with sufficient documentations on the forms that were not returned. There is a listing of all the items of inventory though no valuation of the items exists (</w:t>
            </w:r>
            <w:r>
              <w:rPr>
                <w:rFonts w:asciiTheme="minorHAnsi" w:hAnsiTheme="minorHAnsi"/>
                <w:b w:val="off"/>
                <w:i w:val="on"/>
                <w:iCs w:val="off"/>
                <w:smallCaps w:val="off"/>
                <w:strike w:val="off"/>
                <w:dstrike w:val="off"/>
                <w:outline w:val="off"/>
                <w:shadow w:val="off"/>
                <w:vanish w:val="off"/>
                <w:color w:val="070F13" w:themeColor="text1"/>
                <w:spacing w:val="0"/>
                <w:w w:val="100"/>
                <w:kern w:val="0"/>
                <w:position w:val="0"/>
                <w:sz w:val="24"/>
                <w:szCs w:val="24"/>
                <w:vertAlign w:val="baseline"/>
              </w:rPr>
              <w:t xml:space="preserve">Refer to finding on inventory</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Resolution: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Closed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4. Lack of aged creditor and debtor aging </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system generates an aged debtors and creditor listing for the whole region but cannot generate the aging per county branch. The aging of these balances per county branch is done manually outside the accounting system.</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Action taken: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The aged listing can now be generated per branch from the system.</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Resolution: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Closed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 Unbooked supplier invoice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 noted that there were unbooked supplier’s invoices relating to the security services for the Kiambu and Murang'a county branches of Kshs 78,000 and 68,000 respectively.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Action taken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All the invoices are booked on time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Resolution: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Closed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5. Unsupported bank balance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There was a bank account with National bank of Kenya that had amount as per ledger of Kshs. 3,090 belonging to Kiambu County. We were also </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not provided with a bank closure letter that had been acknowledged by the bank neither did the bank confirm the balance.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Action taken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The bank closure letter has been provided and the ledger amount has been cleared.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Resolution:</w:t>
            </w: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 Closed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 of disputes, claims, or litigation by third parties over the land with no title.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External auditors may qualify the audit opinion due to uncertainty over legal ownership of the land and motor vehicles.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prioritize the resolution of all outstanding external audit matters. A clear action plan should be developed for each issue, including responsible officers, timelines, and progress monitoring. The Board or Audit Committee should oversee the implementation to ensure closure of all pending audit recommendations within a defined period.</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tbl>
      <w:tblPr>
        <w:tblStyle w:val="TableGrid"/>
        <w:tblW w:w="0" w:type="auto"/>
        <w:tblInd w:w="118" w:type="dxa"/>
        <w:tblBorders>
          <w:top w:val="none" w:sz="0" w:space="0" w:color="auto"/>
          <w:left w:val="single" w:sz="4" w:space="0" w:color="2B82BF" w:themeColor="accent3"/>
          <w:bottom w:val="single" w:sz="24" w:space="0" w:color="2B82BF" w:themeColor="accent3"/>
          <w:right w:val="none" w:sz="0" w:space="0" w:color="auto"/>
          <w:insideH w:val="none" w:sz="0" w:space="0" w:color="auto"/>
          <w:insideV w:val="none" w:sz="0" w:space="0" w:color="auto"/>
        </w:tblBorders>
        <w:tblLook w:firstRow="on" w:lastRow="off" w:firstColumn="on" w:lastColumn="off" w:noHBand="off" w:noVBand="on"/>
      </w:tblPr>
      <w:tblGrid>
        <w:gridCol w:w="14272"/>
      </w:tblGrid>
      <w:tr>
        <w:trPr>
          <w:cantSplit w:val="on"/>
        </w:trPr>
        <w:tc>
          <w:tcPr>
            <w:tcW w:w="14272" w:type="dxa"/>
            <w:tcBorders>
              <w:left w:val="single" w:sz="8" w:space="0" w:color="53529F" w:themeColor="accent1"/>
              <w:bottom w:val="single" w:sz="24" w:space="0" w:color="53529F" w:themeColor="accent1"/>
            </w:tcBorders>
          </w:tcPr>
          <w:p>
            <w:pPr>
              <w:pStyle w:val="PageHeading"/>
              <w:rPr/>
            </w:pPr>
            <w:bookmarkStart w:id="13" w:name="_Toc409061808"/>
            <w:r>
              <w:rPr/>
              <w:t xml:space="preserve"> F9 Procurement review (Investigation)</w:t>
            </w:r>
            <w:bookmarkEnd w:id="13"/>
            <w:r>
              <w:rPr/>
              <w:t xml:space="preserve"> </w:t>
            </w:r>
          </w:p>
        </w:tc>
      </w:tr>
    </w:tbl>
    <w:tbl>
      <w:tblPr>
        <w:tblStyle w:val="TableGrid1"/>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firstRow="on" w:lastRow="off" w:firstColumn="on" w:lastColumn="off" w:noHBand="off" w:noVBand="on"/>
      </w:tblPr>
      <w:tblGrid>
        <w:gridCol w:w="7200"/>
        <w:gridCol w:w="7200"/>
      </w:tblGrid>
      <w:tr>
        <w:trPr>
          <w:cantSplit w:val="on"/>
          <w:jc w:val="center"/>
        </w:trPr>
        <w:tc>
          <w:tcPr>
            <w:tcW w:w="2500" w:type="pct"/>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Objective:</w:t>
            </w:r>
            <w:r>
              <w:rPr>
                <w:rFonts w:asciiTheme="minorHAnsi" w:hAnsiTheme="minorHAnsi"/>
                <w:b w:val="on"/>
                <w:i w:val="off"/>
                <w:iCs w:val="off"/>
                <w:smallCaps w:val="off"/>
                <w:strike w:val="off"/>
                <w:dstrike w:val="off"/>
                <w:outline w:val="off"/>
                <w:shadow w:val="off"/>
                <w:vanish w:val="off"/>
                <w:color w:val="002060"/>
                <w:spacing w:val="0"/>
                <w:w w:val="100"/>
                <w:kern w:val="0"/>
                <w:position w:val="0"/>
                <w:sz w:val="24"/>
                <w:szCs w:val="24"/>
                <w:vertAlign w:val="baseline"/>
              </w:rPr>
              <w:t xml:space="preserve"> </w:t>
            </w: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Procurement review</w:t>
            </w:r>
          </w:p>
        </w:tc>
        <w:tc>
          <w:tcPr>
            <w:tcW w:w="2500" w:type="pct"/>
          </w:tcPr>
          <w:p>
            <w:pPr>
              <w:keepNext w:val="on"/>
              <w:keepLines w:val="on"/>
              <w:spacing w:before="120" w:after="120"/>
              <w:jc w:val="right"/>
              <w:outlineLvl w:val="2"/>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Owner: </w:t>
            </w: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ascii="Times New Roman" w:hAnsi="Times New Roman" w:eastAsia="Times New Roman" w:cs="Times New Roman"/>
                <w:b w:val="on"/>
                <w:i w:val="off"/>
                <w:iCs w:val="off"/>
                <w:smallCaps w:val="off"/>
                <w:strike w:val="off"/>
                <w:dstrike w:val="off"/>
                <w:outline w:val="off"/>
                <w:shadow w:val="off"/>
                <w:vanish w:val="off"/>
                <w:color w:val="4A478A"/>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0"/>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41417D"/>
                <w:spacing w:val="0"/>
                <w:w w:val="100"/>
                <w:kern w:val="0"/>
                <w:position w:val="0"/>
                <w:sz w:val="24"/>
                <w:szCs w:val="24"/>
                <w:vertAlign w:val="baseline"/>
              </w:rPr>
              <w:t xml:space="preserve"> </w:t>
            </w:r>
            <w:r>
              <w:rPr>
                <w:sz w:val="20"/>
                <w:szCs w:val="20"/>
              </w:rPr>
              <w:t xml:space="preserve">CC, RSCMO</w:t>
            </w: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i w:val="off"/>
                <w:iCs w:val="off"/>
                <w:smallCaps w:val="off"/>
                <w:strike w:val="off"/>
                <w:dstrike w:val="off"/>
                <w:outline w:val="off"/>
                <w:shadow w:val="off"/>
                <w:vanish w:val="off"/>
                <w:color w:val="2F5496"/>
                <w:spacing w:val="0"/>
                <w:w w:val="100"/>
                <w:kern w:val="0"/>
                <w:position w:val="0"/>
                <w:sz w:val="24"/>
                <w:szCs w:val="24"/>
                <w:vertAlign w:val="baseline"/>
              </w:rPr>
            </w:pPr>
            <w:r>
              <w:rPr>
                <w:rFonts w:ascii="Verdana" w:hAnsi="Verdana" w:eastAsia="Times New Roman" w:cs="Times New Roman"/>
                <w:b w:val="on"/>
                <w:i w:val="off"/>
                <w:iCs w:val="off"/>
                <w:smallCaps w:val="off"/>
                <w:strike w:val="off"/>
                <w:dstrike w:val="off"/>
                <w:outline w:val="off"/>
                <w:shadow w:val="off"/>
                <w:vanish w:val="off"/>
                <w:color w:val="41417D"/>
                <w:spacing w:val="0"/>
                <w:w w:val="100"/>
                <w:kern w:val="0"/>
                <w:position w:val="0"/>
                <w:sz w:val="20"/>
                <w:szCs w:val="24"/>
                <w:vertAlign w:val="baseline"/>
              </w:rPr>
              <w:t xml:space="preserve">Executive Owner</w:t>
            </w:r>
            <w:r>
              <w:rPr>
                <w:rFonts w:ascii="Verdana" w:hAnsi="Verdana" w:eastAsia="Times New Roman" w:cs="Times New Roman"/>
                <w:b w:val="on"/>
                <w:i w:val="off"/>
                <w:iCs w:val="off"/>
                <w:smallCaps w:val="off"/>
                <w:strike w:val="off"/>
                <w:dstrike w:val="off"/>
                <w:outline w:val="off"/>
                <w:shadow w:val="off"/>
                <w:vanish w:val="off"/>
                <w:color w:val="53529F"/>
                <w:spacing w:val="0"/>
                <w:w w:val="100"/>
                <w:kern w:val="0"/>
                <w:position w:val="0"/>
                <w:sz w:val="22"/>
                <w:szCs w:val="24"/>
                <w:vertAlign w:val="baseline"/>
              </w:rPr>
              <w:t xml:space="preserve">:</w:t>
            </w:r>
            <w:r>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t xml:space="preserve"> </w:t>
            </w:r>
            <w:r>
              <w:rPr>
                <w:rFonts w:eastAsia="Times New Roman" w:cs="Times New Roman"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1</w:t>
            </w:r>
          </w:p>
        </w:tc>
      </w:tr>
      <w:tr>
        <w:trPr>
          <w:cantSplit w:val="on"/>
          <w:trHeight w:val="228" w:hRule="atLeast"/>
          <w:jc w:val="center"/>
        </w:trPr>
        <w:tc>
          <w:tcPr>
            <w:tcW w:w="2500" w:type="pct"/>
            <w:tcBorders>
              <w:bottom w:val="single" w:sz="4" w:space="0" w:color="657D75" w:themeColor="background2" w:themeShade="80"/>
            </w:tcBorders>
          </w:tcPr>
          <w:p>
            <w:pPr>
              <w:keepNext w:val="on"/>
              <w:keepLines w:val="on"/>
              <w:spacing w:before="120" w:after="120"/>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c>
          <w:tcPr>
            <w:tcW w:w="2500" w:type="pct"/>
            <w:tcBorders>
              <w:bottom w:val="single" w:sz="4" w:space="0" w:color="657D75" w:themeColor="background2" w:themeShade="80"/>
            </w:tcBorders>
          </w:tcPr>
          <w:p>
            <w:pPr>
              <w:keepNext w:val="on"/>
              <w:keepLines w:val="on"/>
              <w:spacing w:before="120" w:after="120"/>
              <w:jc w:val="right"/>
              <w:outlineLvl w:val="1"/>
              <w:rPr>
                <w:rFonts w:eastAsia="Times New Roman" w:cs="Times New Roman" w:asciiTheme="minorHAnsi" w:hAnsiTheme="minorHAnsi"/>
                <w:b w:val="on"/>
                <w:i w:val="off"/>
                <w:iCs w:val="off"/>
                <w:smallCaps w:val="off"/>
                <w:strike w:val="off"/>
                <w:dstrike w:val="off"/>
                <w:outline w:val="off"/>
                <w:shadow w:val="off"/>
                <w:vanish w:val="off"/>
                <w:color w:val="53529F"/>
                <w:spacing w:val="0"/>
                <w:w w:val="100"/>
                <w:kern w:val="0"/>
                <w:position w:val="0"/>
                <w:sz w:val="24"/>
                <w:szCs w:val="24"/>
                <w:vertAlign w:val="baseline"/>
              </w:rPr>
            </w:pPr>
          </w:p>
        </w:tc>
      </w:tr>
    </w:tbl>
    <w:tbl>
      <w:tblPr>
        <w:tblW w:w="5000" w:type="pct"/>
        <w:jc w:val="center"/>
        <w:tblBorders>
          <w:insideH w:val="single" w:sz="4" w:space="0" w:color="auto"/>
        </w:tblBorders>
        <w:tblLayout w:type="fixed"/>
        <w:tblLook w:firstRow="on" w:lastRow="off" w:firstColumn="off" w:lastColumn="off" w:noHBand="off" w:noVBand="off"/>
      </w:tblPr>
      <w:tblGrid>
        <w:gridCol w:w="5529"/>
        <w:gridCol w:w="1699"/>
        <w:gridCol w:w="2978"/>
        <w:gridCol w:w="4194"/>
      </w:tblGrid>
      <w:tr>
        <w:trPr>
          <w:cantSplit w:val="on"/>
          <w:trHeight w:val="589" w:hRule="atLeast"/>
          <w:jc w:val="center"/>
        </w:trPr>
        <w:tc>
          <w:tcPr>
            <w:tcW w:w="5000" w:type="pct"/>
            <w:gridSpan w:val="4"/>
            <w:tcBorders>
              <w:top w:val="single" w:sz="4" w:space="0" w:color="657D75" w:themeColor="background2" w:themeShade="80"/>
              <w:bottom w:val="nil" w:sz="0"/>
            </w:tcBorders>
            <w:shd w:val="clear" w:color="auto" w:fill="53529F"/>
            <w:vAlign w:val="center"/>
          </w:tcPr>
          <w:p>
            <w:pPr>
              <w:pStyle w:val="BodyText"/>
              <w:spacing w:before="120" w:after="120"/>
              <w:jc w:val="cente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FFFFFF" w:themeColor="background1"/>
                <w:spacing w:val="0"/>
                <w:w w:val="100"/>
                <w:kern w:val="0"/>
                <w:position w:val="0"/>
                <w:sz w:val="24"/>
                <w:szCs w:val="24"/>
                <w:vertAlign w:val="baseline"/>
              </w:rPr>
              <w:t xml:space="preserve">Issue Information</w:t>
            </w:r>
          </w:p>
        </w:tc>
      </w:tr>
      <w:tr>
        <w:trPr>
          <w:cantSplit w:val="on"/>
          <w:trHeight w:val="533"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Overall Status</w:t>
            </w:r>
          </w:p>
        </w:tc>
        <w:tc>
          <w:tcPr>
            <w:tcW w:w="1624" w:type="pct"/>
            <w:gridSpan w:val="2"/>
            <w:tcBorders>
              <w:top w:val="nil" w:sz="0"/>
              <w:left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Severity</w:t>
            </w:r>
          </w:p>
        </w:tc>
        <w:tc>
          <w:tcPr>
            <w:tcW w:w="1456" w:type="pct"/>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Escalation Level</w:t>
            </w:r>
          </w:p>
        </w:tc>
      </w:tr>
      <w:tr>
        <w:trPr>
          <w:cantSplit w:val="on"/>
          <w:jc w:val="center"/>
        </w:trPr>
        <w:tc>
          <w:tcPr>
            <w:tcW w:w="1920" w:type="pct"/>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Open</w:t>
            </w:r>
          </w:p>
        </w:tc>
        <w:tc>
          <w:tcPr>
            <w:tcW w:w="1624"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Medium</w:t>
            </w:r>
          </w:p>
        </w:tc>
        <w:tc>
          <w:tcPr>
            <w:tcW w:w="1456" w:type="pct"/>
            <w:tcBorders>
              <w:top w:val="nil" w:sz="0"/>
              <w:bottom w:val="nil" w:sz="0"/>
            </w:tcBorders>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71" w:hRule="atLeast"/>
          <w:jc w:val="center"/>
        </w:trPr>
        <w:tc>
          <w:tcPr>
            <w:tcW w:w="1920" w:type="pct"/>
            <w:tcBorders>
              <w:top w:val="nil" w:sz="0"/>
              <w:bottom w:val="nil" w:sz="0"/>
              <w:right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Date Identified</w:t>
            </w:r>
          </w:p>
        </w:tc>
        <w:tc>
          <w:tcPr>
            <w:tcW w:w="1624" w:type="pct"/>
            <w:gridSpan w:val="2"/>
            <w:tcBorders>
              <w:top w:val="nil" w:sz="0"/>
              <w:left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Deadline</w:t>
            </w:r>
          </w:p>
        </w:tc>
        <w:tc>
          <w:tcPr>
            <w:tcW w:w="1456" w:type="pct"/>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Status</w:t>
            </w:r>
          </w:p>
        </w:tc>
      </w:tr>
      <w:tr>
        <w:trPr>
          <w:cantSplit w:val="on"/>
          <w:jc w:val="center"/>
        </w:trPr>
        <w:tc>
          <w:tcPr>
            <w:tcW w:w="1920" w:type="pct"/>
            <w:tcBorders>
              <w:top w:val="nil" w:sz="0"/>
              <w:bottom w:val="single" w:sz="4" w:space="0" w:color="E0E6E4"/>
              <w:right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November 26, 2025</w:t>
            </w:r>
          </w:p>
        </w:tc>
        <w:tc>
          <w:tcPr>
            <w:tcW w:w="1624" w:type="pct"/>
            <w:gridSpan w:val="2"/>
            <w:tcBorders>
              <w:top w:val="nil" w:sz="0"/>
              <w:left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c>
          <w:tcPr>
            <w:tcW w:w="1456" w:type="pct"/>
            <w:tcBorders>
              <w:top w:val="nil" w:sz="0"/>
              <w:bottom w:val="single" w:sz="4" w:space="0" w:color="E0E6E4"/>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r>
        <w:trPr>
          <w:cantSplit w:val="on"/>
          <w:trHeight w:val="520" w:hRule="atLeast"/>
          <w:jc w:val="center"/>
        </w:trPr>
        <w:tc>
          <w:tcPr>
            <w:tcW w:w="5000" w:type="pct"/>
            <w:gridSpan w:val="4"/>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Description</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Gaps in procurement management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Conducting the procurement process after delivery of goods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KRCS procurement policy chapter 1 clause 1.5 highlights an overview of the procurement process as: Identification of need, Bid/Tender document preparation, Invitation to tender, Pre-bidding, Bidding, submission, receiving and opening of bids, Bid/Tender evaluation, Tender Award and Contract Management.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Our review noted that the procurement for 20 crates of drinking water from Kamaku Traders (LPO-CER-25-273) to be used during tree planting was done in March was dated 9th September 2025, even though the event had already taken place and the supplier’s invoice was issued on 21st April 2025. This indicates that the procurement process was carried out after the goods and services had already been delivered.</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b.) Quotation offered with errors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Organizational procurement policies require that quotations be accurate, verifiable, and consistent with the invoicing. Any changes to prices after award must be justified, approved, and documented to maintain transparency and fairness in supplier selection.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A quotation from Sajon Company was offered with errors as follows: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(i.)3*2 Cyprus 700ft at rate of Kshs 60 -Kshs 4,200 instead of Kshs 42,000</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(ii.)2*2 Cyprus 700ft at rate of Kshs 40 -Kshs 2,800 instead of Kshs 28,000</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It was noted that a bidder submitted a quotation containing pricing errors. This initially made the bidder appear as the lowest evaluated bidder. Upon award and billing, the bidder corrected the prices in the invoice, which differed from the originally submitted quotation.</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n"/>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Possible root cause</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delay in initiating and formalizing the procurement process appears to have resulted from poor planning and inadequate coordination between the implementing unit and the procurement department.</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The discrepancy appears to have resulted from errors in the original quotation, compounded by lack of verification or clarification of quoted prices before award. </w:t>
            </w:r>
          </w:p>
        </w:tc>
      </w:tr>
      <w:tr>
        <w:trPr>
          <w:trHeight w:val="518" w:hRule="exact"/>
          <w:jc w:val="center"/>
        </w:trPr>
        <w:tc>
          <w:tcPr>
            <w:tcW w:w="5000" w:type="pct"/>
            <w:gridSpan w:val="4"/>
            <w:tcBorders>
              <w:top w:val="nil" w:sz="0"/>
              <w:bottom w:val="nil" w:sz="0"/>
            </w:tcBorders>
            <w:shd w:val="clear" w:color="auto" w:fill="D7D7D7"/>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Risk/Impact</w:t>
            </w:r>
          </w:p>
        </w:tc>
      </w:tr>
      <w:tr>
        <w:trPr>
          <w:jc w:val="center"/>
        </w:trPr>
        <w:tc>
          <w:tcPr>
            <w:tcW w:w="5000" w:type="pct"/>
            <w:gridSpan w:val="4"/>
            <w:tcBorders>
              <w:top w:val="nil" w:sz="0"/>
              <w:bottom w:val="nil" w:sz="0"/>
            </w:tcBorders>
            <w:shd w:val="clear" w:color="auto" w:fill="auto"/>
          </w:tcPr>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Retrospective procurement compromises the integrity of the procurement process and exposes the organization to risks such as non-compliance with policy, irregular approvals, and lack of assurance on value for money.</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Potential compromise of fairness and transparency in the competitive bidding process.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Risk of over payment or non-compliance with procurement policies.</w:t>
            </w:r>
          </w:p>
          <w:p>
            <w:pPr>
              <w:pStyle w:val="BodyText"/>
              <w:spacing w:before="120" w:after="24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Weakness in price verification controls during the bid evaluation process.</w:t>
            </w:r>
          </w:p>
        </w:tc>
      </w:tr>
      <w:tr>
        <w:trPr>
          <w:cantSplit w:val="on"/>
          <w:trHeight w:val="465" w:hRule="atLeast"/>
          <w:jc w:val="center"/>
        </w:trPr>
        <w:tc>
          <w:tcPr>
            <w:tcW w:w="251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Recommendation</w:t>
            </w:r>
          </w:p>
        </w:tc>
        <w:tc>
          <w:tcPr>
            <w:tcW w:w="2490" w:type="pct"/>
            <w:gridSpan w:val="2"/>
            <w:tcBorders>
              <w:top w:val="nil" w:sz="0"/>
              <w:bottom w:val="nil" w:sz="0"/>
            </w:tcBorders>
            <w:shd w:val="clear" w:color="auto" w:fill="D7D7D7"/>
            <w:vAlign w:val="center"/>
          </w:tcPr>
          <w:p>
            <w:pPr>
              <w:pStyle w:val="BodyText"/>
              <w:spacing w:before="120" w:after="120"/>
              <w:ind w:left="113"/>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Remediation Plan</w:t>
            </w:r>
          </w:p>
        </w:tc>
      </w:tr>
      <w:tr>
        <w:trPr>
          <w:jc w:val="center"/>
        </w:trPr>
        <w:tc>
          <w:tcPr>
            <w:tcW w:w="251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Management should ensure that all procurement processes are planned and approved in advance of activity implementation. Staff involved in activity planning and procurement should be sensitized on policy requirements, and internal controls should be strengthened to prevent retrospective procurement practices.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Enforce strict verification of quotation prices before awarding contracts to ensure accuracy and compliance with policy.</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Require bidders to confirm and correct errors prior to award, rather than post-invoice adjustments.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Strengthen internal controls to detect and address pricing discrepancies during bid evaluation to prevent risks of irregular payments.</w:t>
            </w:r>
          </w:p>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lang w:val="en-US" w:eastAsia="en-US" w:bidi="en-US"/>
              </w:rPr>
            </w:pPr>
            <w:r>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t xml:space="preserve">Document all changes and approvals clearly to maintain a complete audit trail.</w:t>
            </w:r>
          </w:p>
        </w:tc>
        <w:tc>
          <w:tcPr>
            <w:tcW w:w="2490" w:type="pct"/>
            <w:gridSpan w:val="2"/>
            <w:tcBorders>
              <w:top w:val="nil" w:sz="0"/>
              <w:bottom w:val="nil" w:sz="0"/>
            </w:tcBorders>
            <w:shd w:val="clear" w:color="auto" w:fill="auto"/>
          </w:tcPr>
          <w:p>
            <w:pPr>
              <w:pStyle w:val="BodyText"/>
              <w:spacing w:before="120" w:after="120"/>
              <w:ind w:left="113"/>
              <w:rPr>
                <w:rFonts w:asciiTheme="minorHAnsi" w:hAnsiTheme="minorHAnsi"/>
                <w:b w:val="off"/>
                <w:i w:val="off"/>
                <w:iCs w:val="off"/>
                <w:smallCaps w:val="off"/>
                <w:strike w:val="off"/>
                <w:dstrike w:val="off"/>
                <w:outline w:val="off"/>
                <w:shadow w:val="off"/>
                <w:vanish w:val="off"/>
                <w:color w:val="070F13" w:themeColor="text1"/>
                <w:spacing w:val="0"/>
                <w:w w:val="100"/>
                <w:kern w:val="0"/>
                <w:position w:val="0"/>
                <w:sz w:val="24"/>
                <w:szCs w:val="24"/>
                <w:vertAlign w:val="baseline"/>
              </w:rPr>
            </w:pPr>
          </w:p>
        </w:tc>
      </w:tr>
    </w:tbl>
    <w:p>
      <w:pPr>
        <w:pStyle w:val="BodyText"/>
        <w:rPr>
          <w:i w:val="off"/>
          <w:iCs w:val="off"/>
          <w:smallCaps w:val="off"/>
          <w:strike w:val="off"/>
          <w:dstrike w:val="off"/>
          <w:outline w:val="off"/>
          <w:shadow w:val="off"/>
          <w:vanish w:val="off"/>
          <w:spacing w:val="0"/>
          <w:w w:val="100"/>
          <w:kern w:val="0"/>
          <w:position w:val="0"/>
          <w:sz w:val="20"/>
          <w:szCs w:val="20"/>
          <w:vertAlign w:val="baseline"/>
        </w:rPr>
      </w:pPr>
      <w:r>
        <w:rPr>
          <w:rFonts w:ascii="Times"/>
          <w:b w:val="off"/>
        </w:rPr>
        <w:t xml:space="preserve"> </w:t>
      </w:r>
      <w:r>
        <w:rPr/>
        <w:t xml:space="preserve"> </w:t>
      </w:r>
    </w:p>
    <w:sectPr>
      <w:type w:val="nextPage"/>
      <w:pgSz w:w="15840" w:h="12240" w:orient="landscape"/>
      <w:pgMar w:top="720" w:right="720" w:bottom="720" w:left="720" w:header="397" w:footer="397" w:gutter="0"/>
      <w:cols w:space="720"/>
      <w:textDirection w:val="lrTb"/>
      <w:bidi w:val="off"/>
    </w:sectPr>
  </w:body>
</w:document>
</file>

<file path=word/fontTable.xml><?xml version="1.0" encoding="utf-8"?>
<w:fonts xmlns:r="http://schemas.openxmlformats.org/officeDocument/2006/relationships" xmlns:w="http://schemas.openxmlformats.org/wordprocessingml/2006/main">
  <w:font w:name="Arial">
    <w:charset w:val="00"/>
    <w:family w:val="swiss"/>
    <w:pitch w:val="variable"/>
  </w:font>
  <w:font w:name="Calibri">
    <w:panose1 w:val="020F0502020204030204"/>
    <w:charset w:val="00"/>
    <w:family w:val="swiss"/>
    <w:pitch w:val="variable"/>
  </w:font>
  <w:font w:name="Cambria">
    <w:panose1 w:val="02040503050406030204"/>
    <w:charset w:val="00"/>
    <w:family w:val="roman"/>
    <w:pitch w:val="variable"/>
  </w:font>
  <w:font w:name="Courier New">
    <w:panose1 w:val="02070309020205020404"/>
    <w:charset w:val="00"/>
    <w:family w:val="modern"/>
    <w:pitch w:val="fixed"/>
  </w:font>
  <w:font w:name="Lato">
    <w:altName w:val="Segoe UI"/>
    <w:charset w:val="00"/>
    <w:family w:val="swiss"/>
    <w:pitch w:val="variable"/>
  </w:font>
  <w:font w:name="Lato-Light">
    <w:altName w:val="Times New Roman"/>
    <w:charset w:val="00"/>
    <w:family w:val="modern"/>
    <w:pitch w:val="variable"/>
  </w:font>
  <w:font w:name="MS Gothic">
    <w:altName w:val="ＭＳ ゴシック"/>
    <w:panose1 w:val="020B0609070205080204"/>
    <w:charset w:val="80"/>
    <w:family w:val="modern"/>
    <w:pitch w:val="fixed"/>
  </w:font>
  <w:font w:name="MS Mincho">
    <w:altName w:val="ＭＳ 明朝"/>
    <w:panose1 w:val="02020609040205080304"/>
    <w:charset w:val="80"/>
    <w:family w:val="modern"/>
    <w:pitch w:val="fixed"/>
  </w:font>
  <w:font w:name="Malgun Gothic">
    <w:charset w:val="81"/>
    <w:family w:val="roman"/>
    <w:pitch w:val="default"/>
  </w:font>
  <w:font w:name="PMingLiU">
    <w:charset w:val="88"/>
    <w:family w:val="roman"/>
    <w:pitch w:val="default"/>
  </w:font>
  <w:font w:name="SimSun">
    <w:charset w:val="86"/>
    <w:family w:val="roman"/>
    <w:pitch w:val="default"/>
  </w:font>
  <w:font w:name="Symbol">
    <w:panose1 w:val="05050102010706020507"/>
    <w:charset w:val="02"/>
    <w:family w:val="roman"/>
    <w:pitch w:val="variable"/>
  </w:font>
  <w:font w:name="Tahoma">
    <w:panose1 w:val="020B0604030504040204"/>
    <w:charset w:val="00"/>
    <w:family w:val="swiss"/>
    <w:pitch w:val="variable"/>
  </w:font>
  <w:font w:name="Times">
    <w:altName w:val="Times New Roman"/>
    <w:panose1 w:val="02020603050405020304"/>
    <w:charset w:val="00"/>
    <w:family w:val="roman"/>
    <w:pitch w:val="variable"/>
  </w:font>
  <w:font w:name="Times New Roman">
    <w:panose1 w:val="02020603050405020304"/>
    <w:charset w:val="00"/>
    <w:family w:val="roman"/>
    <w:pitch w:val="variable"/>
  </w:font>
  <w:font w:name="Verdana">
    <w:panose1 w:val="020B0604030504040204"/>
    <w:charset w:val="00"/>
    <w:family w:val="swiss"/>
    <w:pitch w:val="variable"/>
  </w:font>
  <w:font w:name="Wingdings">
    <w:panose1 w:val="05000000000000000000"/>
    <w:charset w:val="02"/>
    <w:family w:val="modern"/>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tabs>
        <w:tab w:val="center" w:leader="none" w:pos="7230"/>
        <w:tab w:val="right" w:leader="none" w:pos="14317"/>
      </w:tabs>
      <w:rPr>
        <w:rFonts w:asciiTheme="minorHAnsi" w:hAnsiTheme="minorHAnsi"/>
        <w:color w:val="53529F"/>
        <w:sz w:val="16"/>
        <w:szCs w:val="16"/>
      </w:rPr>
    </w:pPr>
    <w:r>
      <w:drawing>
        <wp:anchor distT="0" distB="0" distL="114300" distR="114300" simplePos="0" relativeHeight="17408" behindDoc="0" layoutInCell="1" allowOverlap="0" locked="0">
          <wp:simplePos x="0" y="0"/>
          <wp:positionH relativeFrom="page">
            <wp:posOffset>3126740</wp:posOffset>
          </wp:positionH>
          <wp:positionV relativeFrom="page">
            <wp:posOffset>6944995</wp:posOffset>
          </wp:positionV>
          <wp:extent cx="3506470" cy="828040"/>
          <wp:effectExtent l="0" t="0" r="0" b="0"/>
          <wp:wrapNone/>
          <wp:docPr id="2" name="Shape 2"/>
          <wp:cNvGraphicFramePr/>
          <a:graphic xmlns:a="http://schemas.openxmlformats.org/drawingml/2006/main">
            <a:graphicData uri="http://schemas.microsoft.com/office/word/2010/wordprocessingShape">
              <wps:wsp>
                <wps:cNvSpPr xmlns:wps="http://schemas.microsoft.com/office/word/2010/wordprocessingShape" txBox="1">
                  <a:spLocks xmlns:a="http://schemas.openxmlformats.org/drawingml/2006/main" noChangeArrowheads="1"/>
                </wps:cNvSpPr>
                <wps:spPr xmlns:wps="http://schemas.microsoft.com/office/word/2010/wordprocessingShape" bwMode="auto">
                  <a:xfrm xmlns:a="http://schemas.openxmlformats.org/drawingml/2006/main">
                    <a:off x="0" y="0"/>
                    <a:ext cx="3506498" cy="828000"/>
                  </a:xfrm>
                  <a:prstGeom xmlns:a="http://schemas.openxmlformats.org/drawingml/2006/main" prst="rect">
                    <a:avLst/>
                  </a:prstGeom>
                  <a:solidFill xmlns:a="http://schemas.openxmlformats.org/drawingml/2006/main">
                    <a:srgbClr val="FFFFFF">
                      <a:alpha val="0"/>
                    </a:srgbClr>
                  </a:solidFill>
                  <a:ln xmlns:a="http://schemas.openxmlformats.org/drawingml/2006/main" w="9525">
                    <a:noFill/>
                    <a:miter lim="800000"/>
                    <a:headEnd/>
                    <a:tailEnd/>
                  </a:ln>
                </wps:spPr>
                <wps:txbx>
                  <w:txbxContent>
                    <w:p>
                      <w:pPr>
                        <w:jc w:val="center"/>
                        <w:rPr>
                          <w:rFonts w:asciiTheme="minorHAnsi" w:hAnsiTheme="minorHAnsi"/>
                          <w:color w:val="4A478A"/>
                          <w:sz w:val="16"/>
                          <w:szCs w:val="16"/>
                        </w:rPr>
                      </w:pPr>
                    </w:p>
                    <w:p>
                      <w:pPr>
                        <w:jc w:val="center"/>
                        <w:rPr/>
                      </w:pPr>
                      <w:r>
                        <w:drawing>
                          <wp:inline>
                            <wp:extent cx="565785" cy="360045"/>
                            <wp:docPr id="3" name="WR4" descr="WR4"/>
                            <a:graphic>
                              <a:graphicData uri="http://schemas.openxmlformats.org/drawingml/2006/picture">
                                <pic:pic xmlns:pic="http://schemas.openxmlformats.org/drawingml/2006/picture">
                                  <pic:nvPicPr>
                                    <pic:cNvPr id="4" name="WR4"/>
                                    <pic:cNvPicPr/>
                                  </pic:nvPicPr>
                                  <pic:blipFill>
                                    <a:blip r:embed="rId1"/>
                                    <a:stretch>
                                      <a:fillRect/>
                                    </a:stretch>
                                  </pic:blipFill>
                                  <pic:spPr>
                                    <a:xfrm>
                                      <a:off x="0" y="0"/>
                                      <a:ext cx="565785" cy="360045"/>
                                    </a:xfrm>
                                    <a:prstGeom prst="rect">
                                      <a:avLst/>
                                    </a:prstGeom>
                                  </pic:spPr>
                                </pic:pic>
                              </a:graphicData>
                            </a:graphic>
                          </wp:inline>
                        </w:drawing>
                      </w:r>
                    </w:p>
                  </w:txbxContent>
                </wps:txbx>
                <w10:wrap anchorx="page" anchory="page"/>
                <wps:bodyPr xmlns:wps="http://schemas.microsoft.com/office/word/2010/wordprocessingShape" rot="0" vert="horz" wrap="square" lIns="91440" tIns="45720" rIns="91440" bIns="45720" anchor="t" anchorCtr="0">
                  <a:noAutofit xmlns:a="http://schemas.openxmlformats.org/drawingml/2006/main"/>
                </wps:bodyPr>
              </wps:wsp>
            </a:graphicData>
          </a:graphic>
        </wp:anchor>
      </w:drawing>
    </w:r>
    <w:r>
      <w:rPr>
        <w:rFonts w:asciiTheme="minorHAnsi" w:hAnsiTheme="minorHAnsi"/>
        <w:color w:val="53529F"/>
        <w:sz w:val="16"/>
        <w:szCs w:val="16"/>
      </w:rPr>
      <w:t xml:space="preserve"> PRIVATE &amp; CONFIDENTIAL | Not Approved for Distribution Without Prior Approval </w:t>
    </w:r>
    <w:r>
      <w:rPr>
        <w:rFonts w:asciiTheme="minorHAnsi" w:hAnsiTheme="minorHAnsi"/>
        <w:color w:val="4A478A"/>
        <w:sz w:val="16"/>
        <w:szCs w:val="16"/>
      </w:rPr>
      <w:tab/>
    </w:r>
    <w:r>
      <w:rPr>
        <w:rFonts w:asciiTheme="minorHAnsi" w:hAnsiTheme="minorHAnsi"/>
        <w:color w:val="4A478A"/>
        <w:sz w:val="16"/>
        <w:szCs w:val="16"/>
      </w:rPr>
      <w:tab/>
    </w:r>
    <w:r>
      <w:rPr>
        <w:rFonts w:asciiTheme="minorHAnsi" w:hAnsiTheme="minorHAnsi"/>
        <w:b w:val="off"/>
        <w:color w:val="7F7F7F"/>
        <w:sz w:val="16"/>
        <w:szCs w:val="16"/>
      </w:rPr>
      <w:t xml:space="preserve">Central Region Spot Check (2nd Round) Report | Generated on April  2, 2026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PAGE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1</w:t>
    </w:r>
    <w:r>
      <w:rPr>
        <w:rFonts w:asciiTheme="minorHAnsi" w:hAnsiTheme="minorHAnsi"/>
        <w:b w:val="off"/>
        <w:color w:val="7F7F7F"/>
        <w:sz w:val="16"/>
        <w:szCs w:val="16"/>
      </w:rPr>
      <w:fldChar w:fldCharType="end"/>
    </w:r>
    <w:r>
      <w:rPr>
        <w:rFonts w:asciiTheme="minorHAnsi" w:hAnsiTheme="minorHAnsi"/>
        <w:b w:val="off"/>
        <w:color w:val="7F7F7F"/>
        <w:sz w:val="16"/>
        <w:szCs w:val="16"/>
      </w:rPr>
      <w:t xml:space="preserve"> / </w:t>
    </w:r>
    <w:r>
      <w:rPr>
        <w:rFonts w:asciiTheme="minorHAnsi" w:hAnsiTheme="minorHAnsi"/>
        <w:b w:val="off"/>
        <w:color w:val="7F7F7F"/>
        <w:sz w:val="16"/>
        <w:szCs w:val="16"/>
      </w:rPr>
      <w:fldChar w:fldCharType="begin"/>
    </w:r>
    <w:r>
      <w:rPr>
        <w:rFonts w:asciiTheme="minorHAnsi" w:hAnsiTheme="minorHAnsi"/>
        <w:b w:val="off"/>
        <w:color w:val="7F7F7F"/>
        <w:sz w:val="16"/>
        <w:szCs w:val="16"/>
      </w:rPr>
      <w:instrText xml:space="preserve"> NUMPAGES  \* Arabic  \* MERGEFORMAT </w:instrText>
    </w:r>
    <w:r>
      <w:rPr>
        <w:rFonts w:asciiTheme="minorHAnsi" w:hAnsiTheme="minorHAnsi"/>
        <w:b w:val="off"/>
        <w:color w:val="7F7F7F"/>
        <w:sz w:val="16"/>
        <w:szCs w:val="16"/>
      </w:rPr>
      <w:fldChar w:fldCharType="separate"/>
    </w:r>
    <w:r>
      <w:rPr>
        <w:rFonts w:asciiTheme="minorHAnsi" w:hAnsiTheme="minorHAnsi"/>
        <w:b w:val="off"/>
        <w:color w:val="7F7F7F"/>
        <w:sz w:val="16"/>
        <w:szCs w:val="16"/>
      </w:rPr>
      <w:t xml:space="preserve">30</w:t>
    </w:r>
    <w:r>
      <w:rPr>
        <w:rFonts w:asciiTheme="minorHAnsi" w:hAnsiTheme="minorHAnsi"/>
        <w:b w:val="off"/>
        <w:color w:val="7F7F7F"/>
        <w:sz w:val="16"/>
        <w:szCs w:val="16"/>
      </w:rPr>
      <w:fldChar w:fldCharType="end"/>
    </w:r>
    <w:r>
      <w:rPr>
        <w:rFonts w:asciiTheme="minorHAnsi" w:hAnsiTheme="minorHAnsi"/>
        <w:b w:val="off"/>
        <w:color w:val="FFFFFF" w:themeColor="background1"/>
        <w:sz w:val="16"/>
        <w:szCs w:val="16"/>
      </w:rPr>
      <w:t xml:space="preserve">X</w:t>
    </w:r>
    <w:r>
      <w:rPr>
        <w:rFonts w:asciiTheme="minorHAnsi" w:hAnsiTheme="minorHAnsi"/>
        <w:b w:val="off"/>
        <w:color w:val="7F7F7F"/>
        <w:sz w:val="16"/>
        <w:szCs w:val="16"/>
      </w:rPr>
      <w:t xml:space="preserve">  </w:t>
    </w:r>
    <w:r>
      <w:rPr>
        <w:rFonts w:asciiTheme="minorHAnsi" w:hAnsiTheme="minorHAnsi"/>
        <w:color w:val="4A478A"/>
        <w:sz w:val="16"/>
        <w:szCs w:val="16"/>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Footer"/>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footnote w:type="separator" w:id="-1">
    <w:p>
      <w:pPr>
        <w:rPr/>
      </w:pPr>
      <w:r>
        <w:separator/>
      </w:r>
    </w:p>
  </w:footnote>
  <w:footnote w:type="continuationSeparator" w:id="0">
    <w:p>
      <w:pPr>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ind w:firstLine="426"/>
      <w:rPr/>
    </w:pPr>
    <w:r>
      <w:drawing>
        <wp:anchor distT="0" distB="0" distL="114300" distR="114300" simplePos="0" relativeHeight="16384" behindDoc="1" layoutInCell="1" allowOverlap="1" locked="0">
          <wp:simplePos x="0" y="0"/>
          <wp:positionH relativeFrom="column">
            <wp:posOffset>-194945</wp:posOffset>
          </wp:positionH>
          <wp:positionV relativeFrom="paragraph">
            <wp:posOffset>2540</wp:posOffset>
          </wp:positionV>
          <wp:extent cx="9533890" cy="6856096"/>
          <wp:effectExtent l="0" t="0" r="0" b="1905"/>
          <wp:wrapNone/>
          <wp:docPr id="1" name="darkerbg_1024.jpg" descr="darkerbg_1024.jpg"/>
          <a:graphic xmlns:a="http://schemas.openxmlformats.org/drawingml/2006/main">
            <a:graphicData uri="http://schemas.openxmlformats.org/drawingml/2006/picture">
              <pic:pic xmlns:pic="http://schemas.openxmlformats.org/drawingml/2006/picture">
                <pic:nvPicPr>
                  <pic:cNvPr id="0" name="darkerbg_1024.jpg"/>
                  <pic:cNvPicPr/>
                </pic:nvPicPr>
                <pic:blipFill>
                  <a:blip r:embed="rId2"/>
                  <a:stretch>
                    <a:fillRect/>
                  </a:stretch>
                </pic:blipFill>
                <pic:spPr xmlns:pic="http://schemas.openxmlformats.org/drawingml/2006/picture">
                  <a:xfrm xmlns:a="http://schemas.openxmlformats.org/drawingml/2006/main">
                    <a:off x="0" y="0"/>
                    <a:ext cx="9533890" cy="6856096"/>
                  </a:xfrm>
                  <a:prstGeom xmlns:a="http://schemas.openxmlformats.org/drawingml/2006/main" prst="rect">
                    <a:avLst/>
                  </a:prstGeom>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Header"/>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PageHeading"/>
      <w:rPr>
        <w:b w:val="on"/>
      </w:rP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mc="http://schemas.openxmlformats.org/markup-compatibility/2006" xmlns:wpc="http://schemas.microsoft.com/office/word/2010/wordprocessingCanvas" xmlns:w14="http://schemas.microsoft.com/office/word/2010/wordml" xmlns:wp14="http://schemas.microsoft.com/office/word/2010/wordprocessingDrawing" xmlns:wpg="http://schemas.microsoft.com/office/word/2010/wordprocessingGroup" xmlns:wpi="http://schemas.microsoft.com/office/word/2010/wordprocessingInk" xmlns:wps="http://schemas.microsoft.com/office/word/2010/wordprocessingShape" xmlns:w15="http://schemas.microsoft.com/office/word/2012/wordml" mc:Ignorable="w14 w15 wp14">
  <w:p>
    <w:pPr>
      <w:pStyle w:val="BodyText"/>
      <w:spacing w:line="14" w:lineRule="auto"/>
      <w:rPr>
        <w:b w:val="of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 xmlns:wp="http://schemas.openxmlformats.org/drawingml/2006/wordprocessingDrawing" xmlns:w10="urn:schemas-microsoft-com:office:word" xmlns:w="http://schemas.openxmlformats.org/wordprocessingml/2006/main" xmlns:wne="http://schemas.microsoft.com/office/word/2006/wordml">
  <w:abstractNum w:abstractNumId="1">
    <w:multiLevelType w:val="multilevel"/>
    <w:tmpl w:val="4972058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2">
    <w:multiLevelType w:val="singleLevel"/>
    <w:tmpl w:val="8b1296d0"/>
    <w:lvl w:ilvl="0">
      <w:start w:val="1"/>
      <w:numFmt w:val="decimal"/>
      <w:lvlText w:val="%1."/>
      <w:lvlJc w:val="left"/>
      <w:pPr>
        <w:tabs>
          <w:tab w:val="num" w:pos="1492"/>
        </w:tabs>
        <w:ind w:left="1492"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3">
    <w:multiLevelType w:val="singleLevel"/>
    <w:tmpl w:val="25b29c12"/>
    <w:lvl w:ilvl="0">
      <w:start w:val="1"/>
      <w:numFmt w:val="decimal"/>
      <w:lvlText w:val="%1."/>
      <w:lvlJc w:val="left"/>
      <w:pPr>
        <w:tabs>
          <w:tab w:val="num" w:pos="1209"/>
        </w:tabs>
        <w:ind w:left="1209"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4">
    <w:multiLevelType w:val="singleLevel"/>
    <w:tmpl w:val="f78a1640"/>
    <w:lvl w:ilvl="0">
      <w:start w:val="1"/>
      <w:numFmt w:val="decimal"/>
      <w:lvlText w:val="%1."/>
      <w:lvlJc w:val="left"/>
      <w:pPr>
        <w:tabs>
          <w:tab w:val="num" w:pos="926"/>
        </w:tabs>
        <w:ind w:left="926"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5">
    <w:multiLevelType w:val="singleLevel"/>
    <w:tmpl w:val="ecc83b30"/>
    <w:lvl w:ilvl="0">
      <w:start w:val="1"/>
      <w:numFmt w:val="decimal"/>
      <w:lvlText w:val="%1."/>
      <w:lvlJc w:val="left"/>
      <w:pPr>
        <w:tabs>
          <w:tab w:val="num" w:pos="643"/>
        </w:tabs>
        <w:ind w:left="643"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6">
    <w:multiLevelType w:val="singleLevel"/>
    <w:tmpl w:val="1c0c3b48"/>
    <w:lvl w:ilvl="0">
      <w:start w:val="1"/>
      <w:numFmt w:val="bullet"/>
      <w:lvlText w:val=""/>
      <w:lvlJc w:val="left"/>
      <w:pPr>
        <w:tabs>
          <w:tab w:val="num" w:pos="1492"/>
        </w:tabs>
        <w:ind w:left="1492"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7">
    <w:multiLevelType w:val="singleLevel"/>
    <w:tmpl w:val="90fed928"/>
    <w:lvl w:ilvl="0">
      <w:start w:val="1"/>
      <w:numFmt w:val="bullet"/>
      <w:lvlText w:val=""/>
      <w:lvlJc w:val="left"/>
      <w:pPr>
        <w:tabs>
          <w:tab w:val="num" w:pos="1209"/>
        </w:tabs>
        <w:ind w:left="1209"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8">
    <w:multiLevelType w:val="singleLevel"/>
    <w:tmpl w:val="90dcc222"/>
    <w:lvl w:ilvl="0">
      <w:start w:val="1"/>
      <w:numFmt w:val="bullet"/>
      <w:lvlText w:val=""/>
      <w:lvlJc w:val="left"/>
      <w:pPr>
        <w:tabs>
          <w:tab w:val="num" w:pos="926"/>
        </w:tabs>
        <w:ind w:left="926"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9">
    <w:multiLevelType w:val="singleLevel"/>
    <w:tmpl w:val="1b2818c0"/>
    <w:lvl w:ilvl="0">
      <w:start w:val="1"/>
      <w:numFmt w:val="bullet"/>
      <w:lvlText w:val=""/>
      <w:lvlJc w:val="left"/>
      <w:pPr>
        <w:tabs>
          <w:tab w:val="num" w:pos="643"/>
        </w:tabs>
        <w:ind w:left="643"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0">
    <w:multiLevelType w:val="singleLevel"/>
    <w:tmpl w:val="1194a700"/>
    <w:lvl w:ilvl="0">
      <w:start w:val="1"/>
      <w:numFmt w:val="decimal"/>
      <w:lvlText w:val="%1."/>
      <w:lvlJc w:val="left"/>
      <w:pPr>
        <w:tabs>
          <w:tab w:val="num" w:pos="360"/>
        </w:tabs>
        <w:ind w:left="360" w:hanging="360"/>
      </w:pPr>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abstractNum w:abstractNumId="11">
    <w:multiLevelType w:val="singleLevel"/>
    <w:tmpl w:val="bd8a0292"/>
    <w:lvl w:ilvl="0">
      <w:start w:val="1"/>
      <w:numFmt w:val="bullet"/>
      <w:lvlText w:val=""/>
      <w:lvlJc w:val="left"/>
      <w:pPr>
        <w:tabs>
          <w:tab w:val="num" w:pos="360"/>
        </w:tabs>
        <w:ind w:left="360" w:hanging="360"/>
      </w:pPr>
      <w:rPr>
        <w:rFonts w:ascii="Symbol" w:hAnsi="Symbol" w:hint="default"/>
      </w:rPr>
    </w:lvl>
    <w:lvl w:ilvl="1">
      <w:lvlText w:val=""/>
      <w:lvlJc w:val="left"/>
    </w:lvl>
    <w:lvl w:ilvl="2">
      <w:lvlText w:val=""/>
      <w:lvlJc w:val="left"/>
    </w:lvl>
    <w:lvl w:ilvl="3">
      <w:lvlText w:val=""/>
      <w:lvlJc w:val="left"/>
    </w:lvl>
    <w:lvl w:ilvl="4">
      <w:lvlText w:val=""/>
      <w:lvlJc w:val="left"/>
    </w:lvl>
    <w:lvl w:ilvl="5">
      <w:lvlText w:val=""/>
      <w:lvlJc w:val="left"/>
    </w:lvl>
    <w:lvl w:ilvl="6">
      <w:lvlText w:val=""/>
      <w:lvlJc w:val="left"/>
    </w:lvl>
    <w:lvl w:ilvl="7">
      <w:lvlText w:val=""/>
      <w:lvlJc w:val="left"/>
    </w:lvl>
    <w:lvl w:ilvl="8">
      <w:lvlText w:val=""/>
      <w:lvlJc w:val="left"/>
    </w:lvl>
  </w:abstractNum>
  <w:num w:numId="1">
    <w:abstractNumId w:val="1"/>
  </w:num>
  <w:num w:numId="2">
    <w:abstractNumId w:val="2"/>
  </w:num>
  <w:num w:numId="3">
    <w:abstractNumId w:val="3"/>
  </w:num>
  <w:num w:numId="4">
    <w:abstractNumId w:val="4"/>
  </w:num>
  <w:num w:numId="5">
    <w:abstractNumId w:val="5"/>
  </w:num>
  <w:num w:numId="6">
    <w:abstractNumId w:val="10"/>
  </w:num>
  <w:num w:numId="7">
    <w:abstractNumId w:val="6"/>
  </w:num>
  <w:num w:numId="8">
    <w:abstractNumId w:val="7"/>
  </w:num>
  <w:num w:numId="9">
    <w:abstractNumId w:val="8"/>
  </w:num>
  <w:num w:numId="10">
    <w:abstractNumId w:val="9"/>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defaultTabStop w:val="720"/>
  <w:footnotePr>
    <w:footnote w:id="-1"/>
    <w:footnote w:id="0"/>
  </w:footnotePr>
  <w:compat>
    <w:compatSetting w:name="compatibilityMode" w:uri="http://schemas.microsoft.com/office/word" w:val="15"/>
  </w:compat>
  <w:clrSchemeMapping w:bg1="light1" w:bg2="light2" w:followedHyperlink="followedHyperlink" w:accent2="accent2" w:accent1="accent1" w:accent4="accent4" w:accent3="accent3" w:accent6="accent6" w:accent5="accent5" w:t1="dark1" w:t2="dark2" w:hyperlink="hyperlink"/>
</w:settings>
</file>

<file path=word/styles.xml><?xml version="1.0" encoding="utf-8"?>
<w:styles xmlns:r="http://schemas.openxmlformats.org/officeDocument/2006/relationships" xmlns:w="http://schemas.openxmlformats.org/wordprocessingml/2006/main">
  <w:docDefaults>
    <w:rPrDefault>
      <w:rPr>
        <w:rFonts w:asciiTheme="minorHAnsi" w:hAnsiTheme="minorHAnsi" w:cstheme="minorBidi" w:eastAsiaTheme="minorHAnsi"/>
        <w:sz w:val="22"/>
        <w:szCs w:val="22"/>
        <w:lang w:val="en-US" w:eastAsia="en-US" w:bidi="ar-SA"/>
      </w:rPr>
    </w:rPrDefault>
    <w:pPrDefault>
      <w:pPr>
        <w:widowControl w:val="off"/>
      </w:pPr>
    </w:pPrDefault>
  </w:docDefaults>
  <w:style w:type="paragraph" w:default="1" w:styleId="Normal">
    <w:name w:val="Normal"/>
    <w:pPr/>
    <w:rPr>
      <w:rFonts w:ascii="Lato" w:hAnsi="Lato" w:eastAsia="Lato" w:cs="Lato"/>
    </w:rPr>
  </w:style>
  <w:style w:type="paragraph" w:styleId="Heading1">
    <w:name w:val="heading 1"/>
    <w:basedOn w:val="Normal"/>
    <w:link w:val="Heading1Char"/>
    <w:pPr>
      <w:keepNext w:val="on"/>
      <w:keepLines w:val="on"/>
      <w:spacing w:before="240"/>
      <w:outlineLvl w:val="0"/>
    </w:pPr>
    <w:rPr>
      <w:rFonts w:asciiTheme="majorHAnsi" w:hAnsiTheme="majorHAnsi" w:cstheme="majorBidi" w:eastAsiaTheme="majorEastAsia"/>
      <w:color w:val="3E3D76" w:themeColor="accent1" w:themeShade="BF"/>
      <w:sz w:val="32"/>
      <w:szCs w:val="32"/>
    </w:rPr>
  </w:style>
  <w:style w:type="paragraph" w:styleId="Heading2">
    <w:name w:val="heading 2"/>
    <w:basedOn w:val="Normal"/>
    <w:link w:val="Heading2Char"/>
    <w:pPr>
      <w:keepNext w:val="on"/>
      <w:keepLines w:val="on"/>
      <w:spacing w:before="200"/>
      <w:outlineLvl w:val="1"/>
    </w:pPr>
    <w:rPr>
      <w:rFonts w:asciiTheme="majorHAnsi" w:hAnsiTheme="majorHAnsi" w:cstheme="majorBidi" w:eastAsiaTheme="majorEastAsia"/>
      <w:b w:val="on"/>
      <w:bCs/>
      <w:color w:val="53529F" w:themeColor="accent1"/>
      <w:sz w:val="26"/>
      <w:szCs w:val="26"/>
    </w:rPr>
  </w:style>
  <w:style w:type="paragraph" w:styleId="Heading3">
    <w:name w:val="heading 3"/>
    <w:basedOn w:val="Normal"/>
    <w:link w:val="Heading3Char"/>
    <w:pPr>
      <w:keepNext w:val="on"/>
      <w:keepLines w:val="on"/>
      <w:spacing w:before="200"/>
      <w:outlineLvl w:val="2"/>
    </w:pPr>
    <w:rPr>
      <w:rFonts w:asciiTheme="majorHAnsi" w:hAnsiTheme="majorHAnsi" w:cstheme="majorBidi" w:eastAsiaTheme="majorEastAsia"/>
      <w:b w:val="on"/>
      <w:bCs/>
      <w:color w:val="53529F" w:themeColor="accent1"/>
    </w:rPr>
  </w:style>
  <w:style w:type="character" w:default="1" w:styleId="DefaultParagraphFont">
    <w:name w:val="Default Paragraph Font"/>
    <w:pPr/>
    <w:rPr/>
  </w:style>
  <w:style w:type="table" w:default="1" w:styleId="TableNormal">
    <w:name w:val="Normal Table"/>
    <w:pPr/>
    <w:rPr/>
    <w:tblPr>
      <w:tblInd w:w="0" w:type="dxa"/>
      <w:tblCellMar>
        <w:top w:w="0" w:type="dxa"/>
        <w:left w:w="108" w:type="dxa"/>
        <w:bottom w:w="0" w:type="dxa"/>
        <w:right w:w="108" w:type="dxa"/>
      </w:tblCellMar>
    </w:tblPr>
    <w:trPr/>
    <w:tcPr/>
  </w:style>
  <w:style w:type="numbering" w:default="1" w:styleId="NoList">
    <w:name w:val="No List"/>
    <w:pPr/>
    <w:rPr/>
  </w:style>
  <w:style w:type="paragraph" w:styleId="BodyText">
    <w:name w:val="Body Text"/>
    <w:basedOn w:val="Normal"/>
    <w:link w:val="BodyTextChar"/>
    <w:pPr/>
    <w:rPr>
      <w:b w:val="on"/>
      <w:bCs/>
      <w:sz w:val="20"/>
      <w:szCs w:val="20"/>
    </w:rPr>
  </w:style>
  <w:style w:type="paragraph" w:styleId="ListParagraph">
    <w:name w:val="List Paragraph"/>
    <w:basedOn w:val="Normal"/>
    <w:pPr/>
    <w:rPr/>
  </w:style>
  <w:style w:type="paragraph" w:styleId="TableParagraph">
    <w:name w:val="Table Paragraph"/>
    <w:basedOn w:val="Normal"/>
    <w:pPr/>
    <w:rPr>
      <w:rFonts w:ascii="Lato-Light" w:hAnsi="Lato-Light" w:eastAsia="Lato-Light" w:cs="Lato-Light"/>
    </w:rPr>
  </w:style>
  <w:style w:type="table" w:styleId="TableGrid">
    <w:name w:val="Table Grid"/>
    <w:basedOn w:val="TableNormal"/>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 w:type="character" w:styleId="Heading1Char">
    <w:name w:val="Heading 1 Char"/>
    <w:basedOn w:val="DefaultParagraphFont"/>
    <w:link w:val="Heading1"/>
    <w:pPr/>
    <w:rPr>
      <w:rFonts w:asciiTheme="majorHAnsi" w:hAnsiTheme="majorHAnsi" w:cstheme="majorBidi" w:eastAsiaTheme="majorEastAsia"/>
      <w:color w:val="3E3D76" w:themeColor="accent1" w:themeShade="BF"/>
      <w:sz w:val="32"/>
      <w:szCs w:val="32"/>
    </w:rPr>
  </w:style>
  <w:style w:type="paragraph" w:styleId="TOC-Heading">
    <w:name w:val="TOC-Heading"/>
    <w:basedOn w:val="BodyText"/>
    <w:pPr/>
    <w:rPr>
      <w:color w:val="4A478B"/>
    </w:rPr>
  </w:style>
  <w:style w:type="paragraph" w:styleId="TOC1">
    <w:name w:val="toc 1"/>
    <w:basedOn w:val="Normal"/>
    <w:pPr>
      <w:tabs>
        <w:tab w:val="right" w:leader="dot" w:pos="14410"/>
      </w:tabs>
      <w:spacing w:before="120"/>
    </w:pPr>
    <w:rPr>
      <w:rFonts w:asciiTheme="minorHAnsi" w:hAnsiTheme="minorHAnsi"/>
      <w:bCs/>
      <w:color w:val="070F13" w:themeColor="text1"/>
      <w:sz w:val="24"/>
    </w:rPr>
  </w:style>
  <w:style w:type="paragraph" w:styleId="TOC2">
    <w:name w:val="toc 2"/>
    <w:basedOn w:val="Normal"/>
    <w:pPr>
      <w:ind w:left="220"/>
    </w:pPr>
    <w:rPr>
      <w:rFonts w:asciiTheme="minorHAnsi" w:hAnsiTheme="minorHAnsi"/>
      <w:i/>
      <w:iCs/>
    </w:rPr>
  </w:style>
  <w:style w:type="paragraph" w:styleId="TOC3">
    <w:name w:val="toc 3"/>
    <w:basedOn w:val="Normal"/>
    <w:pPr>
      <w:ind w:left="440"/>
    </w:pPr>
    <w:rPr>
      <w:rFonts w:asciiTheme="minorHAnsi" w:hAnsiTheme="minorHAnsi"/>
    </w:rPr>
  </w:style>
  <w:style w:type="paragraph" w:styleId="TOC4">
    <w:name w:val="toc 4"/>
    <w:basedOn w:val="Normal"/>
    <w:pPr>
      <w:ind w:left="660"/>
    </w:pPr>
    <w:rPr>
      <w:rFonts w:asciiTheme="minorHAnsi" w:hAnsiTheme="minorHAnsi"/>
      <w:sz w:val="20"/>
      <w:szCs w:val="20"/>
    </w:rPr>
  </w:style>
  <w:style w:type="paragraph" w:styleId="TOC5">
    <w:name w:val="toc 5"/>
    <w:basedOn w:val="Normal"/>
    <w:pPr>
      <w:ind w:left="880"/>
    </w:pPr>
    <w:rPr>
      <w:rFonts w:asciiTheme="minorHAnsi" w:hAnsiTheme="minorHAnsi"/>
      <w:sz w:val="20"/>
      <w:szCs w:val="20"/>
    </w:rPr>
  </w:style>
  <w:style w:type="paragraph" w:styleId="TOC6">
    <w:name w:val="toc 6"/>
    <w:basedOn w:val="Normal"/>
    <w:pPr>
      <w:ind w:left="1100"/>
    </w:pPr>
    <w:rPr>
      <w:rFonts w:asciiTheme="minorHAnsi" w:hAnsiTheme="minorHAnsi"/>
      <w:sz w:val="20"/>
      <w:szCs w:val="20"/>
    </w:rPr>
  </w:style>
  <w:style w:type="paragraph" w:styleId="TOC7">
    <w:name w:val="toc 7"/>
    <w:basedOn w:val="Normal"/>
    <w:pPr>
      <w:ind w:left="1320"/>
    </w:pPr>
    <w:rPr>
      <w:rFonts w:asciiTheme="minorHAnsi" w:hAnsiTheme="minorHAnsi"/>
      <w:sz w:val="20"/>
      <w:szCs w:val="20"/>
    </w:rPr>
  </w:style>
  <w:style w:type="paragraph" w:styleId="TOC8">
    <w:name w:val="toc 8"/>
    <w:basedOn w:val="Normal"/>
    <w:pPr>
      <w:ind w:left="1540"/>
    </w:pPr>
    <w:rPr>
      <w:rFonts w:asciiTheme="minorHAnsi" w:hAnsiTheme="minorHAnsi"/>
      <w:sz w:val="20"/>
      <w:szCs w:val="20"/>
    </w:rPr>
  </w:style>
  <w:style w:type="paragraph" w:styleId="TOC9">
    <w:name w:val="toc 9"/>
    <w:basedOn w:val="Normal"/>
    <w:pPr>
      <w:ind w:left="1760"/>
    </w:pPr>
    <w:rPr>
      <w:rFonts w:asciiTheme="minorHAnsi" w:hAnsiTheme="minorHAnsi"/>
      <w:sz w:val="20"/>
      <w:szCs w:val="20"/>
    </w:rPr>
  </w:style>
  <w:style w:type="paragraph" w:styleId="Header">
    <w:name w:val="header"/>
    <w:basedOn w:val="Normal"/>
    <w:link w:val="HeaderChar"/>
    <w:pPr>
      <w:tabs>
        <w:tab w:val="center" w:leader="none" w:pos="4680"/>
        <w:tab w:val="right" w:leader="none" w:pos="9360"/>
      </w:tabs>
    </w:pPr>
    <w:rPr/>
  </w:style>
  <w:style w:type="character" w:styleId="HeaderChar">
    <w:name w:val="Header Char"/>
    <w:basedOn w:val="DefaultParagraphFont"/>
    <w:link w:val="Header"/>
    <w:pPr/>
    <w:rPr>
      <w:rFonts w:ascii="Lato" w:hAnsi="Lato" w:eastAsia="Lato" w:cs="Lato"/>
    </w:rPr>
  </w:style>
  <w:style w:type="paragraph" w:styleId="Footer">
    <w:name w:val="footer"/>
    <w:basedOn w:val="Normal"/>
    <w:link w:val="FooterChar"/>
    <w:pPr>
      <w:tabs>
        <w:tab w:val="center" w:leader="none" w:pos="4680"/>
        <w:tab w:val="right" w:leader="none" w:pos="9360"/>
      </w:tabs>
    </w:pPr>
    <w:rPr/>
  </w:style>
  <w:style w:type="character" w:styleId="FooterChar">
    <w:name w:val="Footer Char"/>
    <w:basedOn w:val="DefaultParagraphFont"/>
    <w:link w:val="Footer"/>
    <w:pPr/>
    <w:rPr>
      <w:rFonts w:ascii="Lato" w:hAnsi="Lato" w:eastAsia="Lato" w:cs="Lato"/>
    </w:rPr>
  </w:style>
  <w:style w:type="paragraph" w:styleId="PageHeading">
    <w:name w:val="Page Heading"/>
    <w:basedOn w:val="Normal"/>
    <w:pPr>
      <w:pageBreakBefore w:val="on"/>
      <w:spacing w:before="20"/>
      <w:ind w:left="23"/>
    </w:pPr>
    <w:rPr>
      <w:rFonts w:ascii="Calibri" w:hAnsi="Calibri"/>
      <w:color w:val="524FA1"/>
      <w:spacing w:val="-8"/>
      <w:sz w:val="56"/>
    </w:rPr>
  </w:style>
  <w:style w:type="character" w:styleId="BodyTextChar">
    <w:name w:val="Body Text Char"/>
    <w:basedOn w:val="DefaultParagraphFont"/>
    <w:link w:val="BodyText"/>
    <w:pPr/>
    <w:rPr>
      <w:rFonts w:ascii="Lato" w:hAnsi="Lato" w:eastAsia="Lato" w:cs="Lato"/>
      <w:b w:val="on"/>
      <w:bCs/>
      <w:sz w:val="20"/>
      <w:szCs w:val="20"/>
    </w:rPr>
  </w:style>
  <w:style w:type="paragraph" w:styleId="BalloonText">
    <w:name w:val="Balloon Text"/>
    <w:basedOn w:val="Normal"/>
    <w:link w:val="BalloonTextChar"/>
    <w:pPr/>
    <w:rPr>
      <w:rFonts w:ascii="Tahoma" w:hAnsi="Tahoma" w:cs="Tahoma"/>
      <w:sz w:val="16"/>
      <w:szCs w:val="16"/>
    </w:rPr>
  </w:style>
  <w:style w:type="character" w:styleId="BalloonTextChar">
    <w:name w:val="Balloon Text Char"/>
    <w:basedOn w:val="DefaultParagraphFont"/>
    <w:link w:val="BalloonText"/>
    <w:pPr/>
    <w:rPr>
      <w:rFonts w:ascii="Tahoma" w:hAnsi="Tahoma" w:eastAsia="Lato" w:cs="Tahoma"/>
      <w:sz w:val="16"/>
      <w:szCs w:val="16"/>
    </w:rPr>
  </w:style>
  <w:style w:type="character" w:styleId="Heading2Char">
    <w:name w:val="Heading 2 Char"/>
    <w:basedOn w:val="DefaultParagraphFont"/>
    <w:link w:val="Heading2"/>
    <w:pPr/>
    <w:rPr>
      <w:rFonts w:asciiTheme="majorHAnsi" w:hAnsiTheme="majorHAnsi" w:cstheme="majorBidi" w:eastAsiaTheme="majorEastAsia"/>
      <w:b w:val="on"/>
      <w:bCs/>
      <w:color w:val="53529F" w:themeColor="accent1"/>
      <w:sz w:val="26"/>
      <w:szCs w:val="26"/>
    </w:rPr>
  </w:style>
  <w:style w:type="character" w:styleId="Heading3Char">
    <w:name w:val="Heading 3 Char"/>
    <w:basedOn w:val="DefaultParagraphFont"/>
    <w:link w:val="Heading3"/>
    <w:pPr/>
    <w:rPr>
      <w:rFonts w:asciiTheme="majorHAnsi" w:hAnsiTheme="majorHAnsi" w:cstheme="majorBidi" w:eastAsiaTheme="majorEastAsia"/>
      <w:b w:val="on"/>
      <w:bCs/>
      <w:color w:val="53529F" w:themeColor="accent1"/>
    </w:rPr>
  </w:style>
  <w:style w:type="table" w:styleId="TableGrid1">
    <w:name w:val="Table Grid1"/>
    <w:basedOn w:val="TableNormal"/>
    <w:pPr>
      <w:widowControl w:val="on"/>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tcPr/>
  </w:style>
</w:styles>
</file>

<file path=word/_rels/document.xml.rels><?xml version='1.0' encoding='UTF-8'?><Relationships xmlns="http://schemas.openxmlformats.org/package/2006/relationships"><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styles" Target="styles.xml"/><Relationship Id="rId7" Type="http://schemas.openxmlformats.org/officeDocument/2006/relationships/numbering" Target="numbering.xml"/><Relationship Id="rId11" Type="http://schemas.openxmlformats.org/officeDocument/2006/relationships/theme" Target="theme/theme1.xml"/><Relationship Id="rId12" Type="http://schemas.openxmlformats.org/officeDocument/2006/relationships/footnotes" Target="footnotes.xm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header" Target="header4.xml"/><Relationship Id="rId20" Type="http://schemas.openxmlformats.org/officeDocument/2006/relationships/header" Target="header5.xml"/><Relationship Id="rId21" Type="http://schemas.openxmlformats.org/officeDocument/2006/relationships/header" Target="header6.xml"/><Relationship Id="rId22" Type="http://schemas.openxmlformats.org/officeDocument/2006/relationships/header" Target="header7.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23" Type="http://schemas.openxmlformats.org/officeDocument/2006/relationships/chart" Target="charts/chart1.xml"/><Relationship Id="rId24" Type="http://schemas.openxmlformats.org/officeDocument/2006/relationships/chart" Target="charts/chart2.xml"/></Relationships>
</file>

<file path=word/_rels/footer1.xml.rels><?xml version='1.0' encoding='UTF-8'?><Relationships xmlns="http://schemas.openxmlformats.org/package/2006/relationships"><Relationship Id="rId1" Type="http://schemas.openxmlformats.org/officeDocument/2006/relationships/image" Target="media/Image_4.jpeg"/></Relationships>
</file>

<file path=word/_rels/footnotes.xml.rels><?xml version='1.0' encoding='UTF-8'?><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1.xml.rels><?xml version='1.0' encoding='UTF-8'?><Relationships xmlns="http://schemas.openxmlformats.org/package/2006/relationships"><Relationship Id="rId2" Type="http://schemas.openxmlformats.org/officeDocument/2006/relationships/image" Target="media/image4.jpeg"/></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567429211891357"/>
          <c:y val="3.6208052857746087E-2"/>
          <c:w val="0.48627479122597056"/>
          <c:h val="0.9117013173037913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2"/>
              <c:pt idx="0">
                <c:v>Medium</c:v>
              </c:pt>
              <c:pt idx="1">
                <c:v>High</c:v>
              </c:pt>
            </c:strLit>
          </c:cat>
          <c:val>
            <c:numLit>
              <c:formatCode>General</c:formatCode>
              <c:ptCount val="2"/>
              <c:pt idx="0">
                <c:v>2</c:v>
              </c:pt>
              <c:pt idx="1">
                <c:v>7</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2787791562924786"/>
          <c:y val="0.36316272622065815"/>
          <c:w val="0.17397578177096903"/>
          <c:h val="0.28521945403512255"/>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433460917011775"/>
          <c:y val="4.1504177119815862E-2"/>
          <c:w val="0.47711523606249095"/>
          <c:h val="0.90644369374963774"/>
        </c:manualLayout>
      </c:layout>
      <c:doughnutChart>
        <c:varyColors val="1"/>
        <c:ser>
          <c:idx val="0"/>
          <c:order val="0"/>
          <c:tx>
            <c:v/>
          </c:tx>
          <c:spPr>
            <a:ln>
              <a:solidFill>
                <a:schemeClr val="bg1"/>
              </a:solidFill>
            </a:ln>
          </c:spPr>
          <c:dLbls>
            <c:spPr>
              <a:noFill/>
              <a:ln>
                <a:noFill/>
              </a:ln>
              <a:effectLst/>
            </c:spPr>
            <c:txPr>
              <a:bodyPr/>
              <a:lstStyle/>
              <a:p>
                <a:pPr>
                  <a:defRPr b="1" i="0" baseline="0">
                    <a:solidFill>
                      <a:schemeClr val="bg1"/>
                    </a:solidFill>
                  </a:defRPr>
                </a:pPr>
                <a:endParaRPr lang="en-US"/>
              </a:p>
            </c:txPr>
            <c:showLegendKey val="0"/>
            <c:showVal val="0"/>
            <c:showCatName val="0"/>
            <c:showSerName val="0"/>
            <c:showPercent val="1"/>
            <c:showBubbleSize val="0"/>
            <c:showLeaderLines val="1"/>
            <c:extLst>
              <c:ext xmlns:c15="http://schemas.microsoft.com/office/drawing/2012/chart" uri="{CE6537A1-D6FC-4f65-9D91-7224C49458BB}"/>
            </c:extLst>
          </c:dLbls>
          <c:cat>
            <c:strLit>
              <c:ptCount val="8"/>
              <c:pt idx="0">
                <c:v>Fleet and Lands Officers</c:v>
              </c:pt>
              <c:pt idx="1">
                <c:v>CC</c:v>
              </c:pt>
              <c:pt idx="2">
                <c:v>Branch Accountants &amp; RFO</c:v>
              </c:pt>
              <c:pt idx="3">
                <c:v>CC-Branches</c:v>
              </c:pt>
              <c:pt idx="4">
                <c:v>Branch accountant</c:v>
              </c:pt>
              <c:pt idx="5">
                <c:v>RFO and Branch Accountants</c:v>
              </c:pt>
              <c:pt idx="6">
                <c:v>CC, RSCMO</c:v>
              </c:pt>
              <c:pt idx="7">
                <c:v>Branch Accountant and RFO</c:v>
              </c:pt>
            </c:strLit>
          </c:cat>
          <c:val>
            <c:numLit>
              <c:formatCode>General</c:formatCode>
              <c:ptCount val="8"/>
              <c:pt idx="0">
                <c:v>1</c:v>
              </c:pt>
              <c:pt idx="1">
                <c:v>2</c:v>
              </c:pt>
              <c:pt idx="2">
                <c:v>1</c:v>
              </c:pt>
              <c:pt idx="3">
                <c:v>1</c:v>
              </c:pt>
              <c:pt idx="4">
                <c:v>1</c:v>
              </c:pt>
              <c:pt idx="5">
                <c:v>1</c:v>
              </c:pt>
              <c:pt idx="6">
                <c:v>1</c:v>
              </c:pt>
              <c:pt idx="7">
                <c:v>1</c:v>
              </c:pt>
            </c:numLit>
          </c:val>
        </c:ser>
        <c:dLbls>
          <c:showLegendKey val="0"/>
          <c:showVal val="0"/>
          <c:showCatName val="0"/>
          <c:showSerName val="0"/>
          <c:showPercent val="0"/>
          <c:showBubbleSize val="0"/>
          <c:showLeaderLines val="1"/>
        </c:dLbls>
        <c:firstSliceAng val="0"/>
        <c:holeSize val="50"/>
      </c:doughnutChart>
    </c:plotArea>
    <c:legend>
      <c:legendPos val="r"/>
      <c:layout>
        <c:manualLayout>
          <c:xMode val="edge"/>
          <c:yMode val="edge"/>
          <c:x val="0.70428324609691384"/>
          <c:y val="0.20949311541104682"/>
          <c:w val="0.2320735126041997"/>
          <c:h val="0.57043890807024511"/>
        </c:manualLayout>
      </c:layout>
      <c:overlay val="0"/>
      <c:txPr>
        <a:bodyPr/>
        <a:lstStyle/>
        <a:p>
          <a:pPr>
            <a:defRPr baseline="0">
              <a:solidFill>
                <a:schemeClr val="tx1"/>
              </a:solidFill>
              <a:latin typeface="Calibri" panose="020F0502020204030204" pitchFamily="34" charset="0"/>
            </a:defRPr>
          </a:pPr>
          <a:endParaRPr lang="en-US"/>
        </a:p>
      </c:txPr>
    </c:legend>
    <c:plotVisOnly val="1"/>
    <c:dispBlanksAs val="zero"/>
    <c:showDLblsOverMax val="1"/>
  </c:chart>
  <c:spPr>
    <a:ln>
      <a:noFill/>
    </a:ln>
  </c:spPr>
</c:chartSpace>
</file>

<file path=word/theme/theme1.xml><?xml version="1.0" encoding="utf-8"?>
<a:theme xmlns:a="http://schemas.openxmlformats.org/drawingml/2006/main" name="Office Theme">
  <a:themeElements>
    <a:clrScheme name="Custom 6">
      <a:dk1>
        <a:srgbClr val="070F13"/>
      </a:dk1>
      <a:lt1>
        <a:srgbClr val="FFFFFF"/>
      </a:lt1>
      <a:dk2>
        <a:srgbClr val="4A478A"/>
      </a:dk2>
      <a:lt2>
        <a:srgbClr val="E0E6E4"/>
      </a:lt2>
      <a:accent1>
        <a:srgbClr val="53529F"/>
      </a:accent1>
      <a:accent2>
        <a:srgbClr val="D1CBC2"/>
      </a:accent2>
      <a:accent3>
        <a:srgbClr val="2B82BF"/>
      </a:accent3>
      <a:accent4>
        <a:srgbClr val="EABA51"/>
      </a:accent4>
      <a:accent5>
        <a:srgbClr val="B9668F"/>
      </a:accent5>
      <a:accent6>
        <a:srgbClr val="7EC0CC"/>
      </a:accent6>
      <a:hlink>
        <a:srgbClr val="393478"/>
      </a:hlink>
      <a:folHlink>
        <a:srgbClr val="6B629B"/>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Pages>30</Pages>
  <Application>Microsoft Office Word</Application>
  <Company>Standard Server Engine - 2 cores (java)   5 x standard, 5 x warm f/o</Company>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ACL Services Ltd.</dc:creator>
  <dcterms:created xsi:type="dcterms:W3CDTF">2026-04-02T08:27:00Z</dcterms:created>
  <dcterms:modified xsi:type="dcterms:W3CDTF">2026-04-02T08:27:00Z</dcterms:modified>
</cp:coreProperties>
</file>