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420236706"/>
            <w:r>
              <w:rPr>
                <w:color w:val="FFFFFF" w:themeColor="background1"/>
                <w:sz w:val="90"/>
                <w:szCs w:val="90"/>
              </w:rPr>
              <w:t xml:space="preserve">KRCS Bungoma Branch Spot Check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October  6,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October  9,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090601205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571531907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594208497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494146296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Failure to implement external audit recommendations</w:t>
      </w:r>
      <w:r>
        <w:rPr>
          <w:rFonts w:asciiTheme="minorHAnsi" w:hAnsiTheme="minorHAnsi"/>
          <w:bCs/>
          <w:color w:val="070F13" w:themeColor="text1"/>
          <w:sz w:val="24"/>
        </w:rPr>
        <w:tab/>
      </w:r>
      <w:fldSimple w:instr=" PAGEREF _Toc720395919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F2 Failure to implement previous spot check recommendation</w:t>
      </w:r>
      <w:r>
        <w:rPr>
          <w:rFonts w:asciiTheme="minorHAnsi" w:hAnsiTheme="minorHAnsi"/>
          <w:bCs/>
          <w:color w:val="070F13" w:themeColor="text1"/>
          <w:sz w:val="24"/>
        </w:rPr>
        <w:tab/>
      </w:r>
      <w:fldSimple w:instr=" PAGEREF _Toc1112423928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F3 Late preparation and approval of bank reconciliations</w:t>
      </w:r>
      <w:r>
        <w:rPr>
          <w:rFonts w:asciiTheme="minorHAnsi" w:hAnsiTheme="minorHAnsi"/>
          <w:bCs/>
          <w:color w:val="070F13" w:themeColor="text1"/>
          <w:sz w:val="24"/>
        </w:rPr>
        <w:tab/>
      </w:r>
      <w:fldSimple w:instr=" PAGEREF _Toc2027236545 ">
        <w:r>
          <w:rPr>
            <w:rFonts w:asciiTheme="minorHAnsi" w:hAnsiTheme="minorHAnsi"/>
            <w:bCs/>
            <w:color w:val="070F13" w:themeColor="text1"/>
            <w:sz w:val="24"/>
          </w:rPr>
          <w:t xml:space="preserve">12</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090601205"/>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purpose of this audit was to evaluate the effectiveness of internal controls and risk management practices within Bungoma branch. Specifically, the audit aims to assess various aspects, including internal controls over cash and bank management, inventory management, volunteer management, follow up of external audits management letter and confirmation of opening balances FY 2025.</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Internal Audit and Risk Assurance mandate is to provide assurance over Bungoma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As part of the 2025 audit plan, the Internal Audit department conducted a spot check of the KRCS Bungoma branch to determine if the controls are operating effectively and in compliance with the Society's policies and objectives.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To review cash and bank management, inventory management, volunteer management, follow up of external audits management letter and confirmation of opening balances FY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571531907"/>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54%</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Following our review of branch’s bank and cash management, follow up of external audit management letter, confirmation  of current year's opening balances and follow up of prior spot checks recommendations </w:t>
      </w:r>
      <w:r>
        <w:rPr>
          <w:rFonts w:ascii="Calibri" w:hAnsi="Calibri"/>
          <w:b w:val="on"/>
          <w:color w:val="070F13" w:themeColor="text1"/>
          <w:sz w:val="24"/>
          <w:szCs w:val="24"/>
        </w:rPr>
        <w:t xml:space="preserve">NEEDS IMPROVEMENT</w:t>
      </w:r>
      <w:r>
        <w:rPr>
          <w:rFonts w:ascii="Calibri" w:hAnsi="Calibri"/>
          <w:b w:val="off"/>
          <w:color w:val="070F13" w:themeColor="text1"/>
          <w:sz w:val="24"/>
          <w:szCs w:val="24"/>
        </w:rPr>
        <w:t xml:space="preserve">. We observed a number of findings as detailed in this report that require management action. </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594208497"/>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71%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3</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Confirmation of opening balances for FY 2025</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Payments (Volunteers)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100%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Follow up of previous spot check recommendations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Follow up of external audit management letter</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5</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3</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3</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494146296"/>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Failure to implement external audit recommendations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Branch accountant</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Failure to implement previous spot check recommendation</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CC-Bungoma</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Late preparation and approval of bank reconciliations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Branch accountant</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720395919"/>
            <w:r>
              <w:rPr/>
              <w:t xml:space="preserve"> F1 Failure to implement external audit recommendations</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Follow up of external audit management letter</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Branch accountant</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October  9,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practices and governance standards require management to implement external audit recommendations within agreed timelines to enhance internal controls, accountability, and compliance with financial regulations.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Our review of prior year external audit report and management letter noted that several external audit recommendations had not been implemented. Key areas pending action include: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Long outstanding receivables - As at last year’s external audit, the branch had long outstanding receivables amounting to Kshs 408,500. The external auditor recommended to the management to develop clear and consistent collection procedures to follow up on overdue receivables promptly. In addition, the auditor suggested the branch to consider formulating a feasible provisioning for bad debts to mitigate against credit risks that could arise. Per our review, there were still some long outstanding balances as per below: </w:t>
            </w:r>
          </w:p>
          <w:tbl>
            <w:tblPr>
              <w:tblW w:w="894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792"/>
              <w:gridCol w:w="3975"/>
              <w:gridCol w:w="1657"/>
              <w:gridCol w:w="2516"/>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Customer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Balance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Comment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African Inland Church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Dating back to 2022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Tronics Network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Dating back to 2022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Kanduyi CDF-Uwezo Committee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Dating back to 2022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 Judes Napara Girls High School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39,000.00 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Dating back to 2024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Western Heights Academy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Dating back to 2023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108,500.00 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Incomplete assets register - The fixed asset register was incomplete and lacked essential details on it. These were: Purchase costs for most fixed assets , absence of the dates of acquisitions among others. Our review noted that the the same is yet to be implemented.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Failure to follow up on long outstanding receivables.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regular review and aging analysis of receivables.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Failure to promptly update the asset register when new assets are acquired or disposed.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Overstatement of receivables and total assets in the financial statements.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Potential misrepresentation of the organization’s financial position.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Potential misstatement of asset balances in the financial statements.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of asset loss, misplacement, or duplication.</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review the long outstanding receivables and determine those that are unlikely to be recovered. Appropriate provisions should be made in line with IFRS 9 or the organization’s accounting policy. Going forward, management should ensure timely implementation of external audit recommendations and maintain an up-to-date receivables aging schedule to monitor and manage credit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update the fixed asset register to include all required details as previously recommended by the external auditor. A comprehensive physical verification exercise should be conducted to confirm asset existence and condition. Going forward, the register should be reviewed periodically to ensure completeness and accuracy.</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1112423928"/>
            <w:r>
              <w:rPr/>
              <w:t xml:space="preserve"> F2 Failure to implement previous spot check recommendation</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Follow up of previous spot check recommendations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CC-Bungoma</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October 16,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According to the organization’s internal audit follow-up procedures and good governance practices, management is expected to implement all agreed-upon audit recommendations within the stipulated timelines to strengthen internal controls and operational efficiency.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reviewed the status of implementation of recommendations from the previous spot check report done in May 2025. Evidence obtained through document review, system verification, and management interviews confirmed that all prior audit recommendations but one had been effectively implemented. The corrective actions taken adequately addressed the previously noted weaknesses and improved the related internal control processes. The issues together with actions taken were as follows: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 Delays in posting income in the ERP by a month (Waiting for bank statements to post income) - Income is now receipted in Navision and posted and receipted within 24 hours.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(ii.) An elevated water tank in the greenhouse was collapsing barely 6 months after its construction - The structure has been fixed with and reinforced with steel.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(iii) Failure to make adequate surpluses - As at 30th September 2025 the branch had a surplus of Kshs 1,950,205.82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(iv.) Key roles such as finance and procurement performed by volunteers - The volunteers have been now engaged via contract though the contracts have not been signed by the volunteers thus it's not binding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Weak internal controls over volunteer recruitment and documentation.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might be exposed to legal and operational risks arising from unclear terms of engagement.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Volunteers may dispute obligations, allowances, or responsibilities since no binding agreement exists.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ensure that all volunteers who are engaged in critical departments sign their engagement contracts prior to commencing their duties. Existing unsigned contracts should be reviewed, updated if necessary, and signed by both parties. The responsible department should implement a contract tracking mechanism to ensure completeness of documentation for all volunteer engagements.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2027236545"/>
            <w:r>
              <w:rPr/>
              <w:t xml:space="preserve"> F3 Late preparation and approval of bank reconciliations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and bank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Branch accountant</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28,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Section 4.12 of the finance manual states that All KRCS bank accounts must be reconciled with the balance in the cashbook monthly within 15 days of subsequent month. The reconciliation statement must detail all outstanding payments, credits, debits that fully explains any differences between the balances. Monthly banks reconciliation statements fully approved by the designated officer of a rank of a Finance Manager and above should be properly filed attaching relevant bank statement and cashbook.</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 noted that some bank reconciliations for the period under review were not prepared and approved on time. For example: </w:t>
            </w:r>
          </w:p>
          <w:tbl>
            <w:tblPr>
              <w:tblW w:w="119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192"/>
              <w:gridCol w:w="1531"/>
              <w:gridCol w:w="1899"/>
              <w:gridCol w:w="1897"/>
              <w:gridCol w:w="1929"/>
              <w:gridCol w:w="3512"/>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Month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Bank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prepared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approved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Comment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Apr-25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BNKNRR31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15-May-25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05-Jun-25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Late approval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May-25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BNKNRR31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06-Jun-25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Late approval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BNKNRR31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06-Aug-25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Late approval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BNKNRR31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Approved on time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BNKNRR31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02-Oct-25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02-Oct-25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Late preparation and approval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adequate prioritization by responsible officers.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of undetected errors, fraud, or unauthorized transactions.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Delays in financial reporting and decision-making.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Potential non-compliance with internal policies and regulatory expectations.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Reduced confidence in the accuracy and reliability of financial records.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Ensure reconciliations are prepared and reviewed within the stipulated time-frame by assigning clear accountability.</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 monitoring controls by introducing a reconciliation tracker and periodic supervisory reviews.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Provide additional training and resources to staff to ensure timely completion.</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Bungoma Branch Spot Check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13</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High</c:v>
              </c:pt>
              <c:pt idx="1">
                <c:v>Medium</c:v>
              </c:pt>
            </c:strLit>
          </c:cat>
          <c:val>
            <c:numLit>
              <c:formatCode>General</c:formatCode>
              <c:ptCount val="2"/>
              <c:pt idx="0">
                <c:v>2</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Branch accountant</c:v>
              </c:pt>
              <c:pt idx="1">
                <c:v>CC-Bungoma</c:v>
              </c:pt>
            </c:strLit>
          </c:cat>
          <c:val>
            <c:numLit>
              <c:formatCode>General</c:formatCode>
              <c:ptCount val="2"/>
              <c:pt idx="0">
                <c:v>2</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13</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2026-04-02T08:33:00Z</dcterms:created>
  <dcterms:modified xsi:type="dcterms:W3CDTF">2026-04-02T08:33:00Z</dcterms:modified>
</cp:coreProperties>
</file>