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1628276941"/>
            <w:r>
              <w:rPr>
                <w:color w:val="FFFFFF" w:themeColor="background1"/>
                <w:sz w:val="90"/>
                <w:szCs w:val="90"/>
              </w:rPr>
              <w:t xml:space="preserve">KRCS Central Region Branches Spot Check review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11,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18,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759598154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611814729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412741369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1441216887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001 Gaps in Income Management</w:t>
      </w:r>
      <w:r>
        <w:rPr>
          <w:rFonts w:asciiTheme="minorHAnsi" w:hAnsiTheme="minorHAnsi"/>
          <w:bCs/>
          <w:color w:val="070F13" w:themeColor="text1"/>
          <w:sz w:val="24"/>
        </w:rPr>
        <w:tab/>
      </w:r>
      <w:fldSimple w:instr=" PAGEREF _Toc13277775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002 Gaps in Expense Management</w:t>
      </w:r>
      <w:r>
        <w:rPr>
          <w:rFonts w:asciiTheme="minorHAnsi" w:hAnsiTheme="minorHAnsi"/>
          <w:bCs/>
          <w:color w:val="070F13" w:themeColor="text1"/>
          <w:sz w:val="24"/>
        </w:rPr>
        <w:tab/>
      </w:r>
      <w:fldSimple w:instr=" PAGEREF _Toc1605338890 ">
        <w:r>
          <w:rPr>
            <w:rFonts w:asciiTheme="minorHAnsi" w:hAnsiTheme="minorHAnsi"/>
            <w:bCs/>
            <w:color w:val="070F13" w:themeColor="text1"/>
            <w:sz w:val="24"/>
          </w:rPr>
          <w:t xml:space="preserve">10</w:t>
        </w:r>
      </w:fldSimple>
    </w:p>
    <w:p>
      <w:pPr>
        <w:pStyle w:val="TOC1"/>
        <w:spacing w:before="120"/>
        <w:rPr/>
      </w:pPr>
      <w:r>
        <w:rPr>
          <w:rFonts w:asciiTheme="minorHAnsi" w:hAnsiTheme="minorHAnsi"/>
          <w:bCs/>
          <w:color w:val="070F13" w:themeColor="text1"/>
          <w:sz w:val="24"/>
        </w:rPr>
        <w:t xml:space="preserve">003 Gaps in Assets &amp; Inventory management</w:t>
      </w:r>
      <w:r>
        <w:rPr>
          <w:rFonts w:asciiTheme="minorHAnsi" w:hAnsiTheme="minorHAnsi"/>
          <w:bCs/>
          <w:color w:val="070F13" w:themeColor="text1"/>
          <w:sz w:val="24"/>
        </w:rPr>
        <w:tab/>
      </w:r>
      <w:fldSimple w:instr=" PAGEREF _Toc419854452 ">
        <w:r>
          <w:rPr>
            <w:rFonts w:asciiTheme="minorHAnsi" w:hAnsiTheme="minorHAnsi"/>
            <w:bCs/>
            <w:color w:val="070F13" w:themeColor="text1"/>
            <w:sz w:val="24"/>
          </w:rPr>
          <w:t xml:space="preserve">12</w:t>
        </w:r>
      </w:fldSimple>
    </w:p>
    <w:p>
      <w:pPr>
        <w:pStyle w:val="TOC1"/>
        <w:spacing w:before="120"/>
        <w:rPr/>
      </w:pPr>
      <w:r>
        <w:rPr>
          <w:rFonts w:asciiTheme="minorHAnsi" w:hAnsiTheme="minorHAnsi"/>
          <w:bCs/>
          <w:color w:val="070F13" w:themeColor="text1"/>
          <w:sz w:val="24"/>
        </w:rPr>
        <w:t xml:space="preserve">005 Gaps in Cash &amp; Bank Reconciliations</w:t>
      </w:r>
      <w:r>
        <w:rPr>
          <w:rFonts w:asciiTheme="minorHAnsi" w:hAnsiTheme="minorHAnsi"/>
          <w:bCs/>
          <w:color w:val="070F13" w:themeColor="text1"/>
          <w:sz w:val="24"/>
        </w:rPr>
        <w:tab/>
      </w:r>
      <w:fldSimple w:instr=" PAGEREF _Toc27309641 ">
        <w:r>
          <w:rPr>
            <w:rFonts w:asciiTheme="minorHAnsi" w:hAnsiTheme="minorHAnsi"/>
            <w:bCs/>
            <w:color w:val="070F13" w:themeColor="text1"/>
            <w:sz w:val="24"/>
          </w:rPr>
          <w:t xml:space="preserve">14</w:t>
        </w:r>
      </w:fldSimple>
    </w:p>
    <w:p>
      <w:pPr>
        <w:pStyle w:val="TOC1"/>
        <w:spacing w:before="120"/>
        <w:rPr/>
      </w:pPr>
      <w:r>
        <w:rPr>
          <w:rFonts w:asciiTheme="minorHAnsi" w:hAnsiTheme="minorHAnsi"/>
          <w:bCs/>
          <w:color w:val="070F13" w:themeColor="text1"/>
          <w:sz w:val="24"/>
        </w:rPr>
        <w:t xml:space="preserve">006 Gaps in Corporate Governance &amp; Risk Management</w:t>
      </w:r>
      <w:r>
        <w:rPr>
          <w:rFonts w:asciiTheme="minorHAnsi" w:hAnsiTheme="minorHAnsi"/>
          <w:bCs/>
          <w:color w:val="070F13" w:themeColor="text1"/>
          <w:sz w:val="24"/>
        </w:rPr>
        <w:tab/>
      </w:r>
      <w:fldSimple w:instr=" PAGEREF _Toc649904628 ">
        <w:r>
          <w:rPr>
            <w:rFonts w:asciiTheme="minorHAnsi" w:hAnsiTheme="minorHAnsi"/>
            <w:bCs/>
            <w:color w:val="070F13" w:themeColor="text1"/>
            <w:sz w:val="24"/>
          </w:rPr>
          <w:t xml:space="preserve">18</w:t>
        </w:r>
      </w:fldSimple>
    </w:p>
    <w:p>
      <w:pPr>
        <w:pStyle w:val="TOC1"/>
        <w:spacing w:before="120"/>
        <w:rPr/>
      </w:pPr>
      <w:r>
        <w:rPr>
          <w:rFonts w:asciiTheme="minorHAnsi" w:hAnsiTheme="minorHAnsi"/>
          <w:bCs/>
          <w:color w:val="070F13" w:themeColor="text1"/>
          <w:sz w:val="24"/>
        </w:rPr>
        <w:t xml:space="preserve">004 Gaps in Payables management</w:t>
      </w:r>
      <w:r>
        <w:rPr>
          <w:rFonts w:asciiTheme="minorHAnsi" w:hAnsiTheme="minorHAnsi"/>
          <w:bCs/>
          <w:color w:val="070F13" w:themeColor="text1"/>
          <w:sz w:val="24"/>
        </w:rPr>
        <w:tab/>
      </w:r>
      <w:fldSimple w:instr=" PAGEREF _Toc1343833562 ">
        <w:r>
          <w:rPr>
            <w:rFonts w:asciiTheme="minorHAnsi" w:hAnsiTheme="minorHAnsi"/>
            <w:bCs/>
            <w:color w:val="070F13" w:themeColor="text1"/>
            <w:sz w:val="24"/>
          </w:rPr>
          <w:t xml:space="preserve">20</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759598154"/>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audit focused on evaluating the adequacy and effectiveness of controls over: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b w:val="on"/>
          <w:color w:val="070F13" w:themeColor="text1"/>
          <w:sz w:val="24"/>
          <w:szCs w:val="24"/>
        </w:rPr>
        <w:t xml:space="preserve">Income Management—</w:t>
      </w:r>
      <w:r>
        <w:rPr>
          <w:rFonts w:ascii="Calibri" w:hAnsi="Calibri"/>
          <w:b w:val="off"/>
          <w:color w:val="070F13" w:themeColor="text1"/>
          <w:sz w:val="24"/>
          <w:szCs w:val="24"/>
        </w:rPr>
        <w:t xml:space="preserve">completeness, accuracy, and timely recording of revenue.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b w:val="on"/>
          <w:color w:val="070F13" w:themeColor="text1"/>
          <w:sz w:val="24"/>
          <w:szCs w:val="24"/>
        </w:rPr>
        <w:t xml:space="preserve">Expense Management—</w:t>
      </w:r>
      <w:r>
        <w:rPr>
          <w:rFonts w:ascii="Calibri" w:hAnsi="Calibri"/>
          <w:b w:val="off"/>
          <w:color w:val="070F13" w:themeColor="text1"/>
          <w:sz w:val="24"/>
          <w:szCs w:val="24"/>
        </w:rPr>
        <w:t xml:space="preserve">authorization, validity, and proper classification of expenditures.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b w:val="on"/>
          <w:color w:val="070F13" w:themeColor="text1"/>
          <w:sz w:val="24"/>
          <w:szCs w:val="24"/>
        </w:rPr>
        <w:t xml:space="preserve">Procurement Processes—</w:t>
      </w:r>
      <w:r>
        <w:rPr>
          <w:rFonts w:ascii="Calibri" w:hAnsi="Calibri"/>
          <w:b w:val="off"/>
          <w:color w:val="070F13" w:themeColor="text1"/>
          <w:sz w:val="24"/>
          <w:szCs w:val="24"/>
        </w:rPr>
        <w:t xml:space="preserve">compliance with approved thresholds, competitive bidding, and documentation standards.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b w:val="on"/>
          <w:color w:val="070F13" w:themeColor="text1"/>
          <w:sz w:val="24"/>
          <w:szCs w:val="24"/>
        </w:rPr>
        <w:t xml:space="preserve">Receivables and Payables—</w:t>
      </w:r>
      <w:r>
        <w:rPr>
          <w:rFonts w:ascii="Calibri" w:hAnsi="Calibri"/>
          <w:b w:val="off"/>
          <w:color w:val="070F13" w:themeColor="text1"/>
          <w:sz w:val="24"/>
          <w:szCs w:val="24"/>
        </w:rPr>
        <w:t xml:space="preserve">accuracy, aging, and recoverability/payability of outstanding balances.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Internal Audit &amp; Risk Management’s mandate is to provide independent assurance on the effectiveness of branch-level governance, risk management and internal control across the Society.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At management’s request—outside the originally approved 2025 audit plan—the department carried out focused spot-check reviews of Central Region Branches (Nyeri, Kerugoya, Laikipia, Meru and Chuka) to confirm that key controls are functioning as intended and remain aligned with the Society’s policies and objectives.</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The scope of the audit covers all activities undertaken in Central Region Branches (Nyeri, Kerugoya, Laikipia, Meru and Chuka) from January 2025 to May 2025.</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611814729"/>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0%</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pPr>
      <w:r>
        <w:rPr>
          <w:rFonts w:ascii="Calibri" w:hAnsi="Calibri"/>
          <w:color w:val="070F13" w:themeColor="text1"/>
          <w:sz w:val="24"/>
          <w:szCs w:val="24"/>
        </w:rPr>
        <w:t xml:space="preserve">The spot-check reviews confirmed that basic governance structures, documented procedures and core financial controls are in place across all five Central Region branches; however, their execution is inconsistent and several cross-cutting weaknesses persist. In particular, untimely bank reconciliations, incomplete income posting, off-system travel claims, unsigned committee Terms of Reference, and outdated asset and inventory records collectively elevate the risk of misstatement, unauthorised spending and asset loss. While many individual transactions were properly supported and volunteer/payroll practices generally complied with policy, the frequency and breadth of exceptions indicate that branch-level control environments require enhancement to deliver reliable, timely and fully compliant financial reporting. </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Management attention is therefore needed to implement the recommended actions and elevate overall control maturity from its current “Needs Improvement” status to a satisfactory level.</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412741369"/>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Income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Expenses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Procurement Processes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Payables and Receivables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Cash and Bank management </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Corporate Governance and Risk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7</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6</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1441216887"/>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Income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Coordinators</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Expense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Assets &amp; Inventory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005</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Cash &amp; Bank Reconciliations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 &amp; County Coordinators</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006</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Corporate Governance &amp; Risk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Coordinators and County Boards</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Payables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 </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13277775"/>
            <w:r>
              <w:rPr/>
              <w:t xml:space="preserve"> 001 Gaps in Income Management</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Income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Coordinators</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During the review of incomes for the branches, Internal Audit observed several good practices in the Society's income recording and control processes. The income and expense capture and recording systems demonstrate a clear commitment to accountability and adherence to finance policy. A look at the profit and loss statements also revealed that Kirinyaga (1,547,300.08), Meru (1,621,570.90), and Laikipia (285,773.00) had surplus income over expenditure during the period under review, which was January  to May 2025.  </w:t>
            </w:r>
          </w:p>
          <w:tbl>
            <w:tblPr>
              <w:tblW w:w="1288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3018"/>
              <w:gridCol w:w="2008"/>
              <w:gridCol w:w="2560"/>
              <w:gridCol w:w="2391"/>
              <w:gridCol w:w="2903"/>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Period: Jan-May 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Branch Name </w:t>
                  </w:r>
                </w:p>
              </w:tc>
              <w:tc>
                <w:tcPr>
                  <w:tcW w:w="0" w:type="auto"/>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Total Income </w:t>
                  </w:r>
                </w:p>
              </w:tc>
              <w:tc>
                <w:tcPr>
                  <w:tcW w:w="0" w:type="auto"/>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Total Expenditure </w:t>
                  </w:r>
                </w:p>
              </w:tc>
              <w:tc>
                <w:tcPr>
                  <w:tcW w:w="0" w:type="auto"/>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Surplus/(Deficit) </w:t>
                  </w:r>
                </w:p>
              </w:tc>
              <w:tc>
                <w:tcPr>
                  <w:tcW w:w="0" w:type="auto"/>
                  <w:shd w:val="clear" w:color="FFFFFF" w:fill="00000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FFFF"/>
                      <w:spacing w:val="0"/>
                      <w:w w:val="100"/>
                      <w:kern w:val="0"/>
                      <w:position w:val="0"/>
                      <w:sz w:val="24"/>
                      <w:szCs w:val="24"/>
                      <w:vertAlign w:val="baseline"/>
                    </w:rPr>
                    <w:t xml:space="preserve">surplus % on Income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Nyeri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2,735,928.75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4,885,597.60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-2,149,668.85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N/A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Laikipia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2,670,756.00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2,384,983.00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285,773.00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10.70007893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Meru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1,660,153.90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38,583.00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1,621,570.90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97.67593836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Tharaka Nithi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1,690,811.00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2,656,410.60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-965,599.60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N/A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Kirinyaga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3,486,382.00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1,939,081.92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1,547,300.08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44.38125484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Exceptions being Nyeri, which has a deficit of income over expenditure of KES 2,149,668.85, and Chuka, which has a deficit of KES 965,599.60.</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in accordance with IFRS IAS 1—Presentation of Financial Statements, expenses must be accurately classified and recorded in the correct accounting period. Specifically, they should be recognized in the period in which they are incurred to ensure that the financial statements reflect a true and fair view of the company’s financial position and performance. Below are the exceptions noted during the review: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Nyeri:</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Four sampled membership receipts banked but not posted in ERP (RCT no. 504551, 504552, 504553, and 504554);  no mileage income generated during the period under review March  - June 2025; despite there being vehicle costs, there is a need to ensure that vehicle costs are optimized or made commensurate with the income they generate in order for the branch to remain profitable. Additionally, vehicle mileage income is minimal versus vehicle costs; there is a need to rethink ways and means to put the branch vehicle into use in order for it to generate income that justifies vehicle costs. A look at vehicle expenses from the beginning of January to May 2025 revealed a total expenditure on motor vehicle of Kshs 472,323.00 (insurance, maintenance, and other vehicle expenses—fuel) against an income of Kshs 218,970.00. (Project-related income)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Kirinyaga:</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Sampled receipts from the membership and sale receipt book lacked information on key fields (date / payer / signature); The review noted poor warehouse conditions, and it was also observed that the branch was storing items for third parties free of charge (items stored and do not belong to KRCS or its affiliates).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Laikipia:</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Cash is occasionally collected and banked on behalf of customers instead of using pay-bill, for payments made such as membership and humanity power walk; instances of late posting of receipts were also noted, as some of the receipts were found in bank statements but not booked in ERP; mileage income is disproportionately low as compared to the vehicle costs.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Tharaka-Nithi: Tin-collection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income misclassified as “Donations”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 </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oversight of branch operations by region </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Non-strategic BDPs devoid of proper feasibility studies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Revenue leakage or understatement</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leading to inaccurate financial reporting and potential loss of funds.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Fraudulent diversion of cash</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where gaps in documentation or misclassification mask misappropriation.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numPr>
                <w:ilvl w:val="0"/>
                <w:numId w:val="16"/>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Enforce same-day posting of all receipts in NAV, including mandatory capture of date, payer, and signature on the face of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receipts consistently. </w:t>
            </w:r>
          </w:p>
          <w:p>
            <w:pPr>
              <w:pStyle w:val="BodyText"/>
              <w:numPr>
                <w:ilvl w:val="0"/>
                <w:numId w:val="16"/>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Formalize all IGA arrangements through approved contracts or MOUs (e.g., storage fees for third parties, use of 3rd party vehicles for branch activities such as forms distribution) and continuous monitoring of activities initiated by the county finance assistants to minimize instances of misclassification and misposting.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1605338890"/>
            <w:r>
              <w:rPr/>
              <w:t xml:space="preserve"> 002 Gaps in Expense Management</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Expenses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 per the KRCS finance manual, staff may receive working advances to facilitate approved and budgeted activities, provided they complete an advance request form (with a Terms of Reference), confirm availability of funds and prior accountability with the accounts team, and obtain approval from the supervisor and GHOF or their delegate. The requesting officer must also fill in the budget section to maintain up-to-date records and prevent overspending.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All working advances should be accounted for within 10 days of return from the mission or completion of the activity. An electronic and/or hard copy mission report should accompany the returns. </w:t>
            </w:r>
          </w:p>
          <w:p>
            <w:pPr>
              <w:pStyle w:val="BodyText"/>
              <w:numPr>
                <w:ilvl w:val="0"/>
                <w:numId w:val="17"/>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All Branches: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Staff advances and claims are processed off the ERP.  </w:t>
            </w:r>
          </w:p>
          <w:p>
            <w:pPr>
              <w:pStyle w:val="BodyText"/>
              <w:numPr>
                <w:ilvl w:val="0"/>
                <w:numId w:val="17"/>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Meru:</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TORs missing for several travel requests (e-mail invites used instead of TOR); BFA facilitator training reports unsigned for the BFA trainings sampled;  </w:t>
            </w:r>
          </w:p>
          <w:p>
            <w:pPr>
              <w:pStyle w:val="BodyText"/>
              <w:numPr>
                <w:ilvl w:val="0"/>
                <w:numId w:val="17"/>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Tharaka Nithi:</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PV 25/018 (catering services) lacked an attendance sheet; vehicle hire costs during the period under review were coded as mileage. An instance of fuel reimbursement to a life member (KES 6,500) lacked a formal agreement/authorization to use their personal car. </w:t>
            </w:r>
          </w:p>
          <w:p>
            <w:pPr>
              <w:pStyle w:val="BodyText"/>
              <w:numPr>
                <w:ilvl w:val="0"/>
                <w:numId w:val="17"/>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Laikipia: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county finance assistant contract lapsed in May 2025 and plays a critical role in supporting branch operations. </w:t>
            </w:r>
          </w:p>
          <w:p>
            <w:pPr>
              <w:pStyle w:val="BodyText"/>
              <w:numPr>
                <w:ilvl w:val="0"/>
                <w:numId w:val="17"/>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Kirinyaga</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An instance of fuel reimbursement (KES 20,000) lacked a formal agreement/authorization. Vehicles Fuel costs walk form distribution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Inadequate oversight and review of supporting documentation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Ineligible or unsupported expenditure.</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numPr>
                <w:ilvl w:val="0"/>
                <w:numId w:val="18"/>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Prior to posting PVs and expenditures, RFOs to ensure that mandatory attachments (contracts, Cheque copies, invoices, Internal purchase request documents, attendance list, mission report) are availed where applicable and are ordered within the file in a chronological order. </w:t>
            </w:r>
          </w:p>
          <w:p>
            <w:pPr>
              <w:pStyle w:val="BodyText"/>
              <w:numPr>
                <w:ilvl w:val="0"/>
                <w:numId w:val="18"/>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Consider giving longer-term contracts to the county finance assistant supporting the branches to also firm up business continuity at the branches. </w:t>
            </w:r>
          </w:p>
          <w:p>
            <w:pPr>
              <w:pStyle w:val="BodyText"/>
              <w:numPr>
                <w:ilvl w:val="0"/>
                <w:numId w:val="18"/>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Require all travel and advance requests to originate from the ERP; disable manual workarounds by ensuring branch budget lines are also catered for.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419854452"/>
            <w:r>
              <w:rPr/>
              <w:t xml:space="preserve"> 003 Gaps in Assets &amp; Inventory management</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Procurement Processes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Incomplete Fixed-Asset Register and Missing Asset Tags: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Across all audited branches, laptops, furniture, PA systems and other equipment were either (i) untagged or (ii) missing from the fixed-asset register.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All branches: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missing asset tags, obsolete items still marked “good”.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Nyeri / Kirinyaga / Laikipia:</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PA system &amp; lounge sofas omitted from register.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Tharaka-Nithi:</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several laptops and furniture items untagged; obsolete items still shown as serviceable.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Inadequate Inventory Listing, Pricing and Obsolete-Item Management: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 Meru: store inventory list missing first-aid mannequins; kitchen sets recorded as 4 but physically 6; obsolete-item register outdated; disposal list incomplete.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Nyeri / Kirinyaga / Laikipia: merchandise items (e.g., visibility materials) do not have an approved price catalogue.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causes: </w:t>
            </w:r>
          </w:p>
          <w:p>
            <w:pPr>
              <w:pStyle w:val="BodyText"/>
              <w:numPr>
                <w:ilvl w:val="0"/>
                <w:numId w:val="19"/>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Manual, spreadsheet-based asset tracking and insufficient periodic verification allow items to bypass tagging and register updates. </w:t>
            </w:r>
          </w:p>
          <w:p>
            <w:pPr>
              <w:pStyle w:val="BodyText"/>
              <w:numPr>
                <w:ilvl w:val="0"/>
                <w:numId w:val="19"/>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standardized inventory-count procedures and absence of a centralized price-catalogue module in the current manual system.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Misappropriation or loss of assets/inventory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numPr>
                <w:ilvl w:val="0"/>
                <w:numId w:val="21"/>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Tag and reconcile 100 % of fixed assets with the register, updating condition and location; a comprehensive list of obsolete items to be made and disposed of per policy. </w:t>
            </w:r>
          </w:p>
          <w:p>
            <w:pPr>
              <w:pStyle w:val="BodyText"/>
              <w:numPr>
                <w:ilvl w:val="0"/>
                <w:numId w:val="21"/>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Automate the fix assets register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27309641"/>
            <w:r>
              <w:rPr/>
              <w:t xml:space="preserve"> 005 Gaps in Cash &amp; Bank Reconciliations</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Cash and Bank management </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 &amp; County Coordinators</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reviewed documentation across the five branches highlights some positive practices in the organization’s internal controls. Notably, sampled cheques, such as cheques 308, 379, 375 in Meru and , 168, and 166 in Tharak-Nithi, were correctly signed by the chairperson of the branch, county coordinator, treasurer, and chairperson of the main board, demonstrating adherence to the approved signing authority as outlined in the finance manual. This indicates a clear segregation of duties and proper authorization processes for cheque issuance, which is a vital internal control measure.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Additionally, the supporting payment vouchers (PVs) corresponding to these cheques explicitly affirm the approval process, further reinforcing the effective implementation of internal control policies and responsible signatory practices. The existence of the Segregation of duties (SOD) and properly signed PVs confirms the commitment to accountability and adherence to Society procedures.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findings during the review reveal significant delays in the preparation of bank reconciliations at Nyeri, Meru, and Laikipia, which were prepared six weeks late and contained balancing differences.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Moreover, the May 2025 reconciliation remains pending. Tharaka-Nithi has not prepared any bank reconciliation since February 2025.</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All these instances are direct violations of the finance manual’s requirement for monthly reconciliation within 15 days.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delay in reconciling bank accounts compromises the accuracy of financial data, hampers effective cash management, and raises concerns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about the prompt identification and resolution of discrepancies, as stipulated by the Society's financial policies.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fixed"/>
            </w:tblPr>
            <w:tblGrid>
              <w:gridCol w:w="1267"/>
              <w:gridCol w:w="1075"/>
              <w:gridCol w:w="345"/>
              <w:gridCol w:w="345"/>
              <w:gridCol w:w="1186"/>
              <w:gridCol w:w="1810"/>
              <w:gridCol w:w="1676"/>
              <w:gridCol w:w="2127"/>
              <w:gridCol w:w="2099"/>
              <w:gridCol w:w="1109"/>
              <w:gridCol w:w="1145"/>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Bank Account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Statement No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Name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Statement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Statement Ending Balance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Balance Last Statement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Prepared By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Approved By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Prepared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Approved </w:t>
                  </w:r>
                </w:p>
              </w:tc>
            </w:tr>
            <w:tr>
              <w:trPr/>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BNKCE16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Meru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1/31/2025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4,127,813.80 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4,415,903.80 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6/8/2025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6/8/2025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BNKCE16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57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Meru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2/28/2025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1,030,934.34 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4,127,813.80 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6/8/2025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6/8/2025 </w:t>
                  </w:r>
                </w:p>
              </w:tc>
            </w:tr>
            <w:tr>
              <w:trPr/>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BNKCE16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58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Meru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3/31/2025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1,191,659.34 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1,030,934.34 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6/8/2025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6/8/2025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BNKCE16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59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Meru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4/30/2025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964,376.34 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1,191,659.34 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6/8/2025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6/8/2025 </w:t>
                  </w:r>
                </w:p>
              </w:tc>
            </w:tr>
            <w:tr>
              <w:trPr/>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BNKCE44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21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Laikipia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1/31/2025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1,449,512.39 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1,598,641.39 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6/15/2025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Laikipia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2/28/2025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1,708,591.49 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1,449,512.39 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6/15/2025 </w:t>
                  </w:r>
                </w:p>
              </w:tc>
            </w:tr>
            <w:tr>
              <w:trPr/>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BNKCE44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Laikipia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3/21/2025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1,117,585.49 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1,708,591.49 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6/15/2025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Tharaka-Nit</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1/31/2025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1,203,786.75 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1,114,386.75 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6/8/2025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6/8/2025 </w:t>
                  </w:r>
                </w:p>
              </w:tc>
            </w:tr>
            <w:tr>
              <w:trPr/>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Tharaka-Nithi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2/28/2025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1,133,565.75 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1,203,786.75 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6/8/2025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6/8/2025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Nyeri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1/31/2025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5,331,032.25 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3,173,411.25 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6/15/2025 </w:t>
                  </w:r>
                </w:p>
              </w:tc>
            </w:tr>
            <w:tr>
              <w:trPr/>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BNKCE47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Nyeri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2/28/2025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2,363,057.25 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5,331,032.25 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6/15/2025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Nyeri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3/31/2025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1,483,722.25 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2,363,057.25 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6/15/2025 </w:t>
                  </w:r>
                </w:p>
              </w:tc>
            </w:tr>
            <w:tr>
              <w:trPr/>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BNKCE47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21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Nyeri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4/30/2025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900,921.25 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1,483,722.25 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6/15/2025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16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Kirinyaga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1/31/2025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83,269.50 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136,447.50 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REDCROSS\MURAGE.CAROLINE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4/25/2025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4/25/2025 </w:t>
                  </w:r>
                </w:p>
              </w:tc>
            </w:tr>
            <w:tr>
              <w:trPr/>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BNKCE48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Kirinyaga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2/28/2025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157,696.50 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83,269.50 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REDCROSS\MURAGE.CAROLINE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4/25/2025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4/25/2025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Kirinyaga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3/31/2025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128,282.50 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157,696.50 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6/6/2025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6/6/2025 </w:t>
                  </w:r>
                </w:p>
              </w:tc>
            </w:tr>
            <w:tr>
              <w:trPr/>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BNKCE48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Kirinyaga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4/30/2025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118,857.50 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128,282.50 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6/6/2025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6/6/2025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Regional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1/31/2025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631,884.05 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1,119,832.05 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6/6/2025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6/6/2025 </w:t>
                  </w:r>
                </w:p>
              </w:tc>
            </w:tr>
            <w:tr>
              <w:trPr/>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BNKCE49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16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Regional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2/28/2025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1,186,591.05 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631,884.05 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6/6/2025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6/6/2025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Regional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3/31/2025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802,960.05 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1,186,591.05 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6/6/2025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6/6/2025 </w:t>
                  </w:r>
                </w:p>
              </w:tc>
            </w:tr>
            <w:tr>
              <w:trPr/>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BNKCE49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 </w:t>
                  </w:r>
                </w:p>
              </w:tc>
              <w:tc>
                <w:tcPr>
                  <w:tcW w:w="690"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Regional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4/30/2025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1,215,821.05 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802,960.05 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REDCROSS\MBUTHIA.JACINTA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REDCROSS\MATHENGE.SIMON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6/6/2025 </w:t>
                  </w:r>
                </w:p>
              </w:tc>
              <w:tc>
                <w:tcPr>
                  <w:tcW w:w="0" w:type="auto"/>
                  <w:shd w:val="clear" w:color="FFFFFF" w:fill="D9D9D9"/>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6/6/2025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regional management oversight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2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Undetected fraud or errors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(e.g., forged cheques, bank fees) due to stale reconciliations. </w:t>
            </w:r>
          </w:p>
          <w:p>
            <w:pPr>
              <w:pStyle w:val="BodyText"/>
              <w:numPr>
                <w:ilvl w:val="0"/>
                <w:numId w:val="2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Inaccurate cash position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impairing decision‑making and liquidity management.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Adhere to the Society's Finance policies and procedures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9" w:name="_Toc649904628"/>
            <w:r>
              <w:rPr/>
              <w:t xml:space="preserve"> 006 Gaps in Corporate Governance &amp; Risk Management</w:t>
            </w:r>
            <w:bookmarkEnd w:id="9"/>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Corporate Governance and Risk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Coordinators and County Boards</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11,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While the KRCS Central Region branches have laid important foundations in governance and risk management—such as active subcommittees, documented risk registers, and declared conflicts of interest.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Gaps persist that fall short of both KRCS constitutional expectations and industry best practice. Key weaknesses include unsigned or missing ToRs for subcommittees, risk registers with vague ownership labels (e.g., “HQ” or “Region”), BDPs without deadlines, a reactive approach towards continuous risk identification, updating to the risk register, and the absence of branch-level risk training.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Additionally, risk updates are inconsistently escalated to boards, and review cycles are missing in several registers. These lapses reduce accountability, delay mitigation, and weaken strategic oversight. Strengthening risk ownership, enforcing dated ToRs, and embedding risk training will significantly enhance the Society’s ERM posture.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skills and capacity building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3F3D3C"/>
                <w:spacing w:val="0"/>
                <w:w w:val="100"/>
                <w:kern w:val="0"/>
                <w:position w:val="0"/>
                <w:sz w:val="24"/>
                <w:szCs w:val="24"/>
                <w:vertAlign w:val="baseline"/>
              </w:rPr>
              <w:t xml:space="preserve">Strategic objectives not met</w:t>
            </w: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 due to unclear accountability and untimely risk response.</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numPr>
                <w:ilvl w:val="0"/>
                <w:numId w:val="24"/>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For the new boards, finalize and sign subcommittee ToRs with effective dates; review annually. </w:t>
            </w:r>
          </w:p>
          <w:p>
            <w:pPr>
              <w:pStyle w:val="BodyText"/>
              <w:numPr>
                <w:ilvl w:val="0"/>
                <w:numId w:val="24"/>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Introduce SMART targets and deadlines into all BDPs and track progress at each board meeting. </w:t>
            </w:r>
          </w:p>
          <w:p>
            <w:pPr>
              <w:pStyle w:val="BodyText"/>
              <w:numPr>
                <w:ilvl w:val="0"/>
                <w:numId w:val="24"/>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Adopt a standard risk-rating methodology (Impact × Likelihood) and require quarterly risk-register updates, with dashboards/updates tabled to main board meetings.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0" w:name="_Toc1343833562"/>
            <w:r>
              <w:rPr/>
              <w:t xml:space="preserve"> 004 Gaps in Payables management</w:t>
            </w:r>
            <w:bookmarkEnd w:id="10"/>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Payables and Receivables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 </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25,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Best practices recommend that outstanding payables be regularly assessed against the organization’s established accounts payable policies, vendor agreements, and contractual payment terms. Effective financial governance requires timely settlement of liabilities to maintain operational efficiency, ensure compliance, and uphold vendor relationships. Our review notes the following exceptions: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review of Central Region Branches payables revealed that of the 5 branches reviewed (Kirinyaga, Tharaka-Nithi, Meru, Laikipia and Nyeri), the Nyeri branch had long outstanding payables as tabulated  below: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655"/>
              <w:gridCol w:w="2190"/>
              <w:gridCol w:w="2094"/>
              <w:gridCol w:w="1886"/>
              <w:gridCol w:w="1513"/>
              <w:gridCol w:w="1513"/>
              <w:gridCol w:w="1238"/>
              <w:gridCol w:w="2095"/>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...Before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03/01/25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04/01/25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05/01/25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After...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Balance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03/31/25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04/30/25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05/31/25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Nyeri 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CR2557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HQ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(249,094.00)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(700,000.00)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(949,094.00)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CR2592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payable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(1,874,971.00)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(1,874,971.00)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Total (LCY)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(2,124,065.00)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(700,000.00)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(2,824,065.00)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Cash flow constraints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1. Damaged brand name and, in other cases, legal pursuits.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numPr>
                <w:ilvl w:val="0"/>
                <w:numId w:val="25"/>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Adhere to the guidelines in the finance manual, best practices, and venture into feasible IGAs that will keep the branches able to resolve the long-outstanding liabilities.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Central Region Branches Spot Check review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21</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1886f5f9"/>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3">
    <w:multiLevelType w:val="hybridMultilevel"/>
    <w:tmpl w:val="2df18113"/>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4">
    <w:multiLevelType w:val="hybridMultilevel"/>
    <w:tmpl w:val="9c5231de"/>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5">
    <w:multiLevelType w:val="hybridMultilevel"/>
    <w:tmpl w:val="8bc6a4c0"/>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6">
    <w:multiLevelType w:val="hybridMultilevel"/>
    <w:tmpl w:val="87449ce3"/>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7">
    <w:multiLevelType w:val="hybridMultilevel"/>
    <w:tmpl w:val="23bba176"/>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8">
    <w:multiLevelType w:val="hybridMultilevel"/>
    <w:tmpl w:val="6b266fa9"/>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9">
    <w:multiLevelType w:val="hybridMultilevel"/>
    <w:tmpl w:val="4b8c5479"/>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0">
    <w:multiLevelType w:val="hybridMultilevel"/>
    <w:tmpl w:val="0908e135"/>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1">
    <w:multiLevelType w:val="hybridMultilevel"/>
    <w:tmpl w:val="35969993"/>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2">
    <w:multiLevelType w:val="hybridMultilevel"/>
    <w:tmpl w:val="fdf799c5"/>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3">
    <w:multiLevelType w:val="hybridMultilevel"/>
    <w:tmpl w:val="2c3797fd"/>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4">
    <w:multiLevelType w:val="hybridMultilevel"/>
    <w:tmpl w:val="759d7d76"/>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5">
    <w:multiLevelType w:val="hybridMultilevel"/>
    <w:tmpl w:val="683931bd"/>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Medium</c:v>
              </c:pt>
              <c:pt idx="1">
                <c:v>High</c:v>
              </c:pt>
            </c:strLit>
          </c:cat>
          <c:val>
            <c:numLit>
              <c:formatCode>General</c:formatCode>
              <c:ptCount val="2"/>
              <c:pt idx="0">
                <c:v>5</c:v>
              </c:pt>
              <c:pt idx="1">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4"/>
              <c:pt idx="0">
                <c:v>County Coordinators</c:v>
              </c:pt>
              <c:pt idx="1">
                <c:v>County Coordinator</c:v>
              </c:pt>
              <c:pt idx="2">
                <c:v>County Coordinators and County Boards</c:v>
              </c:pt>
              <c:pt idx="3">
                <c:v>RFO &amp; County Coordinators</c:v>
              </c:pt>
            </c:strLit>
          </c:cat>
          <c:val>
            <c:numLit>
              <c:formatCode>General</c:formatCode>
              <c:ptCount val="4"/>
              <c:pt idx="0">
                <c:v>1</c:v>
              </c:pt>
              <c:pt idx="1">
                <c:v>3</c:v>
              </c:pt>
              <c:pt idx="2">
                <c:v>1</c:v>
              </c:pt>
              <c:pt idx="3">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21</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2026-04-02T08:23:00Z</dcterms:created>
  <dcterms:modified xsi:type="dcterms:W3CDTF">2026-04-02T08:23:00Z</dcterms:modified>
</cp:coreProperties>
</file>