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865984638"/>
            <w:r>
              <w:rPr>
                <w:color w:val="FFFFFF" w:themeColor="background1"/>
                <w:sz w:val="90"/>
                <w:szCs w:val="90"/>
              </w:rPr>
              <w:t xml:space="preserve">KRCS Kajiado Branch Spot Check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25,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26,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02130325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303349330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779149927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352665880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F1 Gaps in assets management</w:t>
      </w:r>
      <w:r>
        <w:rPr>
          <w:rFonts w:asciiTheme="minorHAnsi" w:hAnsiTheme="minorHAnsi"/>
          <w:bCs/>
          <w:color w:val="070F13" w:themeColor="text1"/>
          <w:sz w:val="24"/>
        </w:rPr>
        <w:tab/>
      </w:r>
      <w:fldSimple w:instr=" PAGEREF _Toc1784397534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F2 Gaps in receivables management</w:t>
      </w:r>
      <w:r>
        <w:rPr>
          <w:rFonts w:asciiTheme="minorHAnsi" w:hAnsiTheme="minorHAnsi"/>
          <w:bCs/>
          <w:color w:val="070F13" w:themeColor="text1"/>
          <w:sz w:val="24"/>
        </w:rPr>
        <w:tab/>
      </w:r>
      <w:fldSimple w:instr=" PAGEREF _Toc81249197 ">
        <w:r>
          <w:rPr>
            <w:rFonts w:asciiTheme="minorHAnsi" w:hAnsiTheme="minorHAnsi"/>
            <w:bCs/>
            <w:color w:val="070F13" w:themeColor="text1"/>
            <w:sz w:val="24"/>
          </w:rPr>
          <w:t xml:space="preserve">10</w:t>
        </w:r>
      </w:fldSimple>
    </w:p>
    <w:p>
      <w:pPr>
        <w:pStyle w:val="TOC1"/>
        <w:spacing w:before="120"/>
        <w:rPr/>
      </w:pPr>
      <w:r>
        <w:rPr>
          <w:rFonts w:asciiTheme="minorHAnsi" w:hAnsiTheme="minorHAnsi"/>
          <w:bCs/>
          <w:color w:val="070F13" w:themeColor="text1"/>
          <w:sz w:val="24"/>
        </w:rPr>
        <w:t xml:space="preserve">F3 Gaps in navision usage</w:t>
      </w:r>
      <w:r>
        <w:rPr>
          <w:rFonts w:asciiTheme="minorHAnsi" w:hAnsiTheme="minorHAnsi"/>
          <w:bCs/>
          <w:color w:val="070F13" w:themeColor="text1"/>
          <w:sz w:val="24"/>
        </w:rPr>
        <w:tab/>
      </w:r>
      <w:fldSimple w:instr=" PAGEREF _Toc1128282616 ">
        <w:r>
          <w:rPr>
            <w:rFonts w:asciiTheme="minorHAnsi" w:hAnsiTheme="minorHAnsi"/>
            <w:bCs/>
            <w:color w:val="070F13" w:themeColor="text1"/>
            <w:sz w:val="24"/>
          </w:rPr>
          <w:t xml:space="preserve">12</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02130325"/>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purpose of this audit was to evaluate the effectiveness of internal controls and risk management practices within Kajiado branch. Specifically, the audit aims to assess various aspects, including internal controls over income, payments (expenditure), asset management, procurement management, receivables, payments, navision usage and power of humanity walk.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Internal Audit and Risk Assurance mandate is to provide assurance over Kajiado branch's governance, soundness of internal control systems and that risks are adequately assessed and managed to enhance operational effectiveness and efficiency of the Society.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As part of the 2025 audit plan, the Internal Audit department conducted a spot check of the KRCS Kajiado branches to determine if the controls are operating effectively and in compliance with the Society's policies and objectives.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The review was designed to cover asset management, receivables management, procurement management, income, expenditure and navision usage for the past one year.</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303349330"/>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33%</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pPr>
      <w:r>
        <w:rPr>
          <w:rFonts w:ascii="Calibri" w:hAnsi="Calibri"/>
          <w:color w:val="070F13" w:themeColor="text1"/>
          <w:sz w:val="24"/>
          <w:szCs w:val="24"/>
        </w:rPr>
        <w:t xml:space="preserve">Based on the work done, we conclude that the controls around asset management,receivables management, procurement management, income, payments, navision usage and humanity power walk NEEDS IMPROVEMENT. We have identified a number of controls gaps that requires management attention.</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We thank the branch team for the support accorded during this exercise.</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779149927"/>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Assets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Receivables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Procurement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100%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Payments (volunteers and board members)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Navision usage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Income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100%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2</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3</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1</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3</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352665880"/>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assets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Accountant - Branch</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receivables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 - Kajiado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navision usage</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 - Kajiado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1784397534"/>
            <w:r>
              <w:rPr/>
              <w:t xml:space="preserve"> F1 Gaps in assets management</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Assets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Accountant - Branch</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25,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Assets with unassigned costs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Clause 7.4 of the finance manual states that property and equipment are capitalized and recognized at cost or valuation. Further, IAS 16 – Property, Plant and Equipment states that: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Donated (non-monetary) assets should be measured at fair value at the date of donation and recognized accordingly in the books of account.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Assets recorded at zero or no value result in incomplete financial disclosures and misstatement of organizational resources.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review identified that several assets that were recorded in the fixed asset register without any assigned monetary value. These include: Ladder, Handwashing equipment, Container and Signage.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 Incomplete asset registers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Clause 7.5 of the finance manual states that property and equipment register is maintained for all KRCS assets. The assets accountant will be responsible for maintaining the register and ensures that it is constantly being updated. Best practices also dictate that on the minimum an asset register should have the following key fields, Asset ID / Tag Number, Asset Description,Serial Number, Asset Class / Category, Location, Custodian / User, Acquisition Date, Supplier / Donor, Cost / Fair Value, Useful Life, Depreciation Method, Depreciation Rate, Accumulated Depreciation, Net Book Value (NBV) and Condition / Status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review of the fixed asset registers revealed that key information fields were missing for a significant number of recorded assets. Specifically: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branch's asset register had no updated depreciation, accumulated depreciation and net book value (NBV).</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limits the register's usefulness in providing accurate asset values and tracking life cycles.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 Presence of obsolete assets in the asset register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accordance with IAS 16 – Property, Plant and Equipment: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Assets that are no longer in use and provide no future economic benefits should be removed from active records through impairment, write-off, or disposal, depending on their condition and value.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Regular asset reviews and physical verification should be used to ensure the asset register reflects the current status of all assets.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performed a physical verification of the assets and found that the branch had some impaired assets. These are: Wooden pallets, Office chair-High-back, swivel, with arms, Water dispenser-Ashton Meyers, Printer-HP Color LaserJet Pro MFP M277fdw and CPU-HP 280G1 Micro Tower Business PC.</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Infrequent updates of the asset register following physical verification exercises.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Non-compliance with accounting standards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staff capacity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Understatement of asset values in the financial statements.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risk of asset misclassification, misstatement, or loss.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Inability to conduct accurate physical verification and reconciliation with the register.</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all non-functional and idle assets in the register and determine whether they should be impaired, written off, or disposed of in line with the organization's policy.</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Conduct a comprehensive review and cleanup of the asset register to update missing fields, especially serial numbers, asset classes, and depreciation details.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Finance team should establish and implement a procedure for assessing and documenting fair value of assets with missing costs.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81249197"/>
            <w:r>
              <w:rPr/>
              <w:t xml:space="preserve"> F2 Gaps in receivables management</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Receivables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 - Kajiado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25,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Long overdue receivables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Sound financial management principles require timely collection of receivables to maintain liquidity and prevent bad debts. IFRS 9 – Financial Instruments also requires entities to assess receivables for expected credit losses, especially for overdue amounts.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Our review noted that the branch has a number of receivables relating to mileages awaiting payment from HQ as follows: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850"/>
              <w:gridCol w:w="1529"/>
              <w:gridCol w:w="8364"/>
              <w:gridCol w:w="2441"/>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Receivable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Amount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Nature of the receivable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Recoverable/Payable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Christine Nzilani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Relates to staff debtor i.e. Amount advanced to the previous CC. Balance dates back to April 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recoverable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First Aid Income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Relates to income from offering first aid training owed by various customer dating back to May 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recoverable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550,000.00 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Relates to internet mast space rented to Safaricom  and project rent.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Recoverable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585,500.00 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Payment delays by the headquarters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Closure of some projects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 of non-compliance with accounting standards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Cash flow constraints - Uncollected receivables limit the organization's liquidity and ability to meet short-term obligations.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Provision of long overdue receivables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128282616"/>
            <w:r>
              <w:rPr/>
              <w:t xml:space="preserve"> F3 Gaps in navision usage</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Navision usage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 - Kajiado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25,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Inability to use some navision modules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Section 3.3 of the finance manual states that KRCS operates and maintains Enterprise Resource Planning software package called Microsoft Dynamics Nav Classic. This ERP through if Financial Management module enables the society to record and processes accounting transactions within functional modules of the General Ledger, Cash Management, Receivables, Payables, Fixed Assets and Inventory.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verified that the branches uses the following modules of navision as required by the finance policy: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Sales - The branch uses this to generate the mileage invoice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Financial management - This module deals with all the Financial Transaction that we carry out in a company. The functionalities include, but are not limited to, G/L budgeting, financial reporting, cash management, receivables and payables and fixed assets.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Supply chain management - The entire procurement process is carried out in Microsoft Dynamics. Logistics is also carried out in the system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Fixed assets - The fixed assets register is also maintained in the system by the RFO.</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the branch cannot use the supply chain module. Instead,  all the procurement is done from the region.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staff at the branch</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Capacity gap in navision usage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Bypassing system modules often results in parallel manual processes, which are prone to errors, inconsistencies, and duplication of data entry.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Certain controls and approval workflows are built into Navision modules. Not using all modules may circumvent these controls, increasing the risk of fraud, unauthorized transactions, and policy breaches.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Mapping of the branch in navision</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Training of the staff on navision usage</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Kajiado Branch Spot Check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13</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b64ee67b"/>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Medium</c:v>
              </c:pt>
              <c:pt idx="1">
                <c:v>High</c:v>
              </c:pt>
            </c:strLit>
          </c:cat>
          <c:val>
            <c:numLit>
              <c:formatCode>General</c:formatCode>
              <c:ptCount val="2"/>
              <c:pt idx="0">
                <c:v>2</c:v>
              </c:pt>
              <c:pt idx="1">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Accountant - Branch</c:v>
              </c:pt>
              <c:pt idx="1">
                <c:v>CC - Kajiado</c:v>
              </c:pt>
            </c:strLit>
          </c:cat>
          <c:val>
            <c:numLit>
              <c:formatCode>General</c:formatCode>
              <c:ptCount val="2"/>
              <c:pt idx="0">
                <c:v>1</c:v>
              </c:pt>
              <c:pt idx="1">
                <c:v>2</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13</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2026-04-02T08:40:00Z</dcterms:created>
  <dcterms:modified xsi:type="dcterms:W3CDTF">2026-04-02T08:40:00Z</dcterms:modified>
</cp:coreProperties>
</file>