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12235381"/>
            <w:r>
              <w:rPr>
                <w:color w:val="FFFFFF" w:themeColor="background1"/>
                <w:sz w:val="90"/>
                <w:szCs w:val="90"/>
              </w:rPr>
              <w:t xml:space="preserve">KRCS Kilifi Branch Spot Check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19,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June 30,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828877604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143473988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193371097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1639272580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F1 Inaccurate bank reconciliations</w:t>
      </w:r>
      <w:r>
        <w:rPr>
          <w:rFonts w:asciiTheme="minorHAnsi" w:hAnsiTheme="minorHAnsi"/>
          <w:bCs/>
          <w:color w:val="070F13" w:themeColor="text1"/>
          <w:sz w:val="24"/>
        </w:rPr>
        <w:tab/>
      </w:r>
      <w:fldSimple w:instr=" PAGEREF _Toc1035212910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F2 Disposal of branch Vehicle</w:t>
      </w:r>
      <w:r>
        <w:rPr>
          <w:rFonts w:asciiTheme="minorHAnsi" w:hAnsiTheme="minorHAnsi"/>
          <w:bCs/>
          <w:color w:val="070F13" w:themeColor="text1"/>
          <w:sz w:val="24"/>
        </w:rPr>
        <w:tab/>
      </w:r>
      <w:fldSimple w:instr=" PAGEREF _Toc1763756530 ">
        <w:r>
          <w:rPr>
            <w:rFonts w:asciiTheme="minorHAnsi" w:hAnsiTheme="minorHAnsi"/>
            <w:bCs/>
            <w:color w:val="070F13" w:themeColor="text1"/>
            <w:sz w:val="24"/>
          </w:rPr>
          <w:t xml:space="preserve">9</w:t>
        </w:r>
      </w:fldSimple>
    </w:p>
    <w:p>
      <w:pPr>
        <w:pStyle w:val="TOC1"/>
        <w:spacing w:before="120"/>
        <w:rPr/>
      </w:pPr>
      <w:r>
        <w:rPr>
          <w:rFonts w:asciiTheme="minorHAnsi" w:hAnsiTheme="minorHAnsi"/>
          <w:bCs/>
          <w:color w:val="070F13" w:themeColor="text1"/>
          <w:sz w:val="24"/>
        </w:rPr>
        <w:t xml:space="preserve">F3 Long Outstanding Payables</w:t>
      </w:r>
      <w:r>
        <w:rPr>
          <w:rFonts w:asciiTheme="minorHAnsi" w:hAnsiTheme="minorHAnsi"/>
          <w:bCs/>
          <w:color w:val="070F13" w:themeColor="text1"/>
          <w:sz w:val="24"/>
        </w:rPr>
        <w:tab/>
      </w:r>
      <w:fldSimple w:instr=" PAGEREF _Toc1510891856 ">
        <w:r>
          <w:rPr>
            <w:rFonts w:asciiTheme="minorHAnsi" w:hAnsiTheme="minorHAnsi"/>
            <w:bCs/>
            <w:color w:val="070F13" w:themeColor="text1"/>
            <w:sz w:val="24"/>
          </w:rPr>
          <w:t xml:space="preserve">11</w:t>
        </w:r>
      </w:fldSimple>
    </w:p>
    <w:p>
      <w:pPr>
        <w:pStyle w:val="TOC1"/>
        <w:spacing w:before="120"/>
        <w:rPr/>
      </w:pPr>
      <w:r>
        <w:rPr>
          <w:rFonts w:asciiTheme="minorHAnsi" w:hAnsiTheme="minorHAnsi"/>
          <w:bCs/>
          <w:color w:val="070F13" w:themeColor="text1"/>
          <w:sz w:val="24"/>
        </w:rPr>
        <w:t xml:space="preserve">F4 Long outstanding receivables</w:t>
      </w:r>
      <w:r>
        <w:rPr>
          <w:rFonts w:asciiTheme="minorHAnsi" w:hAnsiTheme="minorHAnsi"/>
          <w:bCs/>
          <w:color w:val="070F13" w:themeColor="text1"/>
          <w:sz w:val="24"/>
        </w:rPr>
        <w:tab/>
      </w:r>
      <w:fldSimple w:instr=" PAGEREF _Toc1297930960 ">
        <w:r>
          <w:rPr>
            <w:rFonts w:asciiTheme="minorHAnsi" w:hAnsiTheme="minorHAnsi"/>
            <w:bCs/>
            <w:color w:val="070F13" w:themeColor="text1"/>
            <w:sz w:val="24"/>
          </w:rPr>
          <w:t xml:space="preserve">13</w:t>
        </w:r>
      </w:fldSimple>
    </w:p>
    <w:p>
      <w:pPr>
        <w:pStyle w:val="TOC1"/>
        <w:spacing w:before="120"/>
        <w:rPr/>
      </w:pPr>
      <w:r>
        <w:rPr>
          <w:rFonts w:asciiTheme="minorHAnsi" w:hAnsiTheme="minorHAnsi"/>
          <w:bCs/>
          <w:color w:val="070F13" w:themeColor="text1"/>
          <w:sz w:val="24"/>
        </w:rPr>
        <w:t xml:space="preserve">F5 Lack of title deed for Kilifi Branch Land</w:t>
      </w:r>
      <w:r>
        <w:rPr>
          <w:rFonts w:asciiTheme="minorHAnsi" w:hAnsiTheme="minorHAnsi"/>
          <w:bCs/>
          <w:color w:val="070F13" w:themeColor="text1"/>
          <w:sz w:val="24"/>
        </w:rPr>
        <w:tab/>
      </w:r>
      <w:fldSimple w:instr=" PAGEREF _Toc656449107 ">
        <w:r>
          <w:rPr>
            <w:rFonts w:asciiTheme="minorHAnsi" w:hAnsiTheme="minorHAnsi"/>
            <w:bCs/>
            <w:color w:val="070F13" w:themeColor="text1"/>
            <w:sz w:val="24"/>
          </w:rPr>
          <w:t xml:space="preserve">16</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828877604"/>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sz w:val="24"/>
          <w:szCs w:val="24"/>
        </w:rPr>
        <w:t xml:space="preserve">The main purpose of this audit is to review;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Governance, risk management, financial management, income &amp; expenditure, procurement, human resource, volunteer management and internal controls, Branch Development Plan (BDP) and to identify control gaps.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To identify opportunities for improvement.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sz w:val="24"/>
          <w:szCs w:val="24"/>
        </w:rPr>
        <w:t xml:space="preserve">Internal Audit and Risk Management’s mandate is to provide assurance over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As part of the 2025 audit plan, the Internal Audit department conducted a review of the KRCS Kilifi Branch to determine if the controls are operating effectively and in compliance with the Society's policies and objectives.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pPr>
      <w:r>
        <w:rPr>
          <w:rFonts w:ascii="Calibri" w:hAnsi="Calibri"/>
          <w:color w:val="070F13"/>
          <w:sz w:val="24"/>
          <w:szCs w:val="24"/>
        </w:rPr>
        <w:t xml:space="preserve">The scope of the audit covers all activities undertaken by the Kilifi branch from January 2025 to May 2025.</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 </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143473988"/>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17%</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pPr>
      <w:r>
        <w:rPr>
          <w:rFonts w:ascii="Calibri" w:hAnsi="Calibri"/>
          <w:color w:val="070F13"/>
          <w:sz w:val="24"/>
          <w:szCs w:val="24"/>
        </w:rPr>
        <w:t xml:space="preserve">Following our review, we conclude that the controls around KRCS Kilifi Branch processes </w:t>
      </w:r>
      <w:r>
        <w:rPr>
          <w:rFonts w:ascii="Calibri" w:hAnsi="Calibri"/>
          <w:b w:val="on"/>
          <w:color w:val="070F13"/>
          <w:sz w:val="24"/>
          <w:szCs w:val="24"/>
        </w:rPr>
        <w:t xml:space="preserve">NEEDS IMPROVEMENT</w:t>
      </w:r>
      <w:r>
        <w:rPr>
          <w:rFonts w:ascii="Calibri" w:hAnsi="Calibri"/>
          <w:b w:val="off"/>
          <w:color w:val="070F13"/>
          <w:sz w:val="24"/>
          <w:szCs w:val="24"/>
        </w:rPr>
        <w:t xml:space="preserve">. We observed control gaps as detailed in this report that require management action</w:t>
      </w:r>
      <w:r>
        <w:rPr>
          <w:rFonts w:ascii="Calibri" w:hAnsi="Calibri"/>
          <w:color w:val="070F13" w:themeColor="text1"/>
          <w:sz w:val="24"/>
          <w:szCs w:val="24"/>
        </w:rPr>
        <w:t xml:space="preserve">. </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Notably the branch had resolved  prior internal audit findings on governance, contract management and insurance of assets as the time of the spot check. (June 19, 2025). </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 </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193371097"/>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Land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Fleet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Cash and Bank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Payables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Receivables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Income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60%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Expense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70%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2</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5</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5</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1639272580"/>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Inaccurate bank reconciliations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 </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Disposal of branch Vehicle</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RLO </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 Outstanding Payables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 Kilifi Branch</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 outstanding receivables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 </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F5</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Lack of title deed for Kilifi Branch Land</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 Kilifi Branch</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035212910"/>
            <w:r>
              <w:rPr/>
              <w:t xml:space="preserve"> F1 Inaccurate bank reconciliations</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and Bank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 </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19,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Bank reconciliations are a critical component of maintaining the integrity of a company’s financial reporting. They ensure that cash balances reflected in the company’s financial statements align with those reported by the bank. Timely and accurate reconciliations are critical for preventing discrepancies, safeguarding cash, and ensuring that financial statements provide a true and fair view of the company’s financial position.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 However, from the sampled review of January 2025 to May 2025 bank reconciliations we noted that statement ending balances and cash book balances were not reconciled leading to misstated cash and bank balances as summarized below; </w:t>
            </w:r>
          </w:p>
          <w:tbl>
            <w:tblPr>
              <w:tblW w:w="926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152"/>
              <w:gridCol w:w="1041"/>
              <w:gridCol w:w="2233"/>
              <w:gridCol w:w="1918"/>
              <w:gridCol w:w="1230"/>
              <w:gridCol w:w="1686"/>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Bank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Month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Adj statement balance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Cash book balance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Variance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prepared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BNK007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April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22,501 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342,573 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320,072 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3/4/2025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BNK010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278,750 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221,453 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(57,297)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5/13/2025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301,251 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564,025 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262,775 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Statement ending balance error in the system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Delayed resolution of variances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Misstated bank balances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Management should ensure;</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Ensure proper system configuration to reflect correct statement ending balances on bank reconciliations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Fastrack the reinstatement of bank reconciliations for accuracy of bank balances.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1763756530"/>
            <w:r>
              <w:rPr/>
              <w:t xml:space="preserve"> F2 Disposal of branch Vehicle</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Fleet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RLO </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19,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Per clause 11.2 of the fleet manual Maintenance of vehicles becomes more expensive as they age. It will therefore be prudent to replace vehicles before they become too old to run. Additionally, motor cycles/Saloons/Pickups/Station wagons – replaced after 150,000KM or 5 years, whichever comes first. However as at June 19,2025, the Odometer reading of the branch vehicle was above the recommended odometer reading at 350,000Km.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Inadequate asset disposal strategy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Inadequate management follow up on disposal of vehicles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Non adherence to policies and procedures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High vehicle maintenance costs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Management should ensure disposal of vehicles as per policy requirements.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510891856"/>
            <w:r>
              <w:rPr/>
              <w:t xml:space="preserve"> F3 Long Outstanding Payables</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Payables review</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 Kilifi Branch</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19,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Best practice guides that overdue payables should be assessed against the company’s established accounts payable policies, vendor agreements, and payment terms. The extent of overdue payments should be identified, and their impact on operational efficiency, financial consequences, and internal controls should be evaluated. Additionally, the potential risks, including reputational damage or legal action, should be considered, along with management’s awareness and actions to resolve the overdue payables.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From our review of payables for the branch we observed that the branch had long overdue payables as summarized below;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5137"/>
              <w:gridCol w:w="1901"/>
              <w:gridCol w:w="1786"/>
              <w:gridCol w:w="1673"/>
              <w:gridCol w:w="1674"/>
              <w:gridCol w:w="2013"/>
            </w:tblGrid>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Row Labels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&lt;1/1/2023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2023 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2025 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AMS Insurance Brokers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(101,707)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(101,707)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Auto Magic Mechanical Repairs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Bomani Enterprises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(87,250)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65,940 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(21,310)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Charleston Travel Limited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(24,300)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(24,300)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Coast Region Supply Chain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(620,635)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(481,448)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294,866 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(807,217)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Malindi Books &amp; Stationeries Store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(85,200)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47,250 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(37,950)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Malindi Pearl Hotel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(11,250)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(11,250)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Mudzini Youth Group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(394,250)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83,250 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(231,000)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Pioneer General Insurance limited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(265,263)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(265,263)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Raghib store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(677,070)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18,018 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59,052 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Rentokil Initial Kenya Limited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5,829 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(11,280)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(5,451)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SALEM VALUERS LIMITED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Tandaa Networks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The Kenyan Alliance Insurance Co Ltd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(14,310)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(14,310) </w:t>
                  </w:r>
                </w:p>
              </w:tc>
            </w:tr>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(5,293,545)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3,377,865 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(924,720)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627,112 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(2,213,288)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Cash flow constraints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Strain in vendor relations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Management should ensure there is efficient cash flow management to meet obligations as and when they fall due.</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1297930960"/>
            <w:r>
              <w:rPr/>
              <w:t xml:space="preserve"> F4 Long outstanding receivables</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Receivables Review</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 </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19,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of receivables is vital to mitigate long outstanding accounts receivables that tie up the company's financial resources  whose payment is not certain. From our review of receivables we  noted that the out of  the  8,575,923.49receivable balance at the branch, 5,698,353.9 were long outstanding as shown below;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5587"/>
              <w:gridCol w:w="1719"/>
              <w:gridCol w:w="1719"/>
              <w:gridCol w:w="1719"/>
              <w:gridCol w:w="1720"/>
              <w:gridCol w:w="1720"/>
            </w:tblGrid>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Row Labels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&lt;1/1/2023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2023 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2024 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2025 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DPR489-Building Resilience in Urban Settlements-DR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DPR538-2023 IFRC Elnino response DREF-IFRC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151,935.00 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151,935.00 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DPR544-KRCS NBS Nature Based Solution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51,135.00 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51,135.00 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DPR545-KRCS Floods Emergency Response &amp; recovery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13,230.00 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13,230.00 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DPR560-Bill and Melida Gates Foundation-Kenya Floo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94,500.00 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94,500.00 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DPR564-BHA-Improving Food Security, Resilience of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228,690.00 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228,690.00 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HSS094-NCD in Crisis- Dannish NNf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388,865.00 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288,536.00 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677,401.00 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HSS095-GBV Awareness Kenya- MFA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56,000.00 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86,800.00 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142,800.00 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HSS619-UNICEF Integrated HPD- Nutrition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118,125.00 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118,125.00 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HSS629-UNICEF Integrated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241,710.00 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241,710.00 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ICHA1009-PARTNERS FOR RESILLIENCE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25,515.00 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(15,645.00)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9,870.00 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ISLAMIC RELIEF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(54,000.00)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(54,000.00)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KRCS-COAST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2,048,135.50 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1,793,452.00 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(746,974.50)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(102,186.00)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2,992,427.00 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KRCS-HQ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223,425.00 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29,394.40 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(17,475.00)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(128,000.00)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107,344.40 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PREPAYMENTS FOR NEW VEHICLE/FUEL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138,088.00 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1,405,859.00 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1,277,475.09 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879,334.00 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3,700,756.09  </w:t>
                  </w:r>
                </w:p>
              </w:tc>
            </w:tr>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2,458,131.50 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3,240,222.40 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1,497,550.59 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1,380,019.00 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8,575,923.49 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 expenditure on projects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follow up on debtor balances to ensure full recovery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Financial loss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Management should ensure;</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Write off of irrecoverable receivable balances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Adequate follow up on recovering intercompany balances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656449107"/>
            <w:r>
              <w:rPr/>
              <w:t xml:space="preserve"> F5 Lack of title deed for Kilifi Branch Land</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Land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 Kilifi Branch</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June 19,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order to evidence ownership a legal document that proofs ownership of land i.e. a title deed is necessary.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the review of land ownership and management at the branch we noted that the land allocated to Kilifi branch does not have title deeds to confirm ownership of land. However, the branch was in the  process of engaging surveyors to commence this process of obtaining  the title deed.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Delays from surveyors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Lack of legal basis where land dispute arises due to lack of land ownership.</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Fast track the process of acquisition of title deed to confirm and ascertain that they are the real owners of the land.</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Kilifi Branch Spot Check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17</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8c13dfcb"/>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1"/>
              <c:pt idx="0">
                <c:v>Medium</c:v>
              </c:pt>
            </c:strLit>
          </c:cat>
          <c:val>
            <c:numLit>
              <c:formatCode>General</c:formatCode>
              <c:ptCount val="1"/>
              <c:pt idx="0">
                <c:v>5</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3"/>
              <c:pt idx="0">
                <c:v>CC Kilifi Branch</c:v>
              </c:pt>
              <c:pt idx="1">
                <c:v>RFO</c:v>
              </c:pt>
              <c:pt idx="2">
                <c:v>RLO</c:v>
              </c:pt>
            </c:strLit>
          </c:cat>
          <c:val>
            <c:numLit>
              <c:formatCode>General</c:formatCode>
              <c:ptCount val="3"/>
              <c:pt idx="0">
                <c:v>2</c:v>
              </c:pt>
              <c:pt idx="1">
                <c:v>2</c:v>
              </c:pt>
              <c:pt idx="2">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17</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2026-04-02T08:46:00Z</dcterms:created>
  <dcterms:modified xsi:type="dcterms:W3CDTF">2026-04-02T08:46:00Z</dcterms:modified>
</cp:coreProperties>
</file>