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730348844"/>
            <w:r>
              <w:rPr>
                <w:color w:val="FFFFFF" w:themeColor="background1"/>
                <w:sz w:val="90"/>
                <w:szCs w:val="90"/>
              </w:rPr>
              <w:t xml:space="preserve">KRCS Kilifi and Mombasa branch spot checks October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October 21,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October 30,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1332812978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250515294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246405807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935960247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F1 Gaps in Management of payables and receivables</w:t>
      </w:r>
      <w:r>
        <w:rPr>
          <w:rFonts w:asciiTheme="minorHAnsi" w:hAnsiTheme="minorHAnsi"/>
          <w:bCs/>
          <w:color w:val="070F13" w:themeColor="text1"/>
          <w:sz w:val="24"/>
        </w:rPr>
        <w:tab/>
      </w:r>
      <w:fldSimple w:instr=" PAGEREF _Toc1248220115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F2 Gaps in procurement and contract management</w:t>
      </w:r>
      <w:r>
        <w:rPr>
          <w:rFonts w:asciiTheme="minorHAnsi" w:hAnsiTheme="minorHAnsi"/>
          <w:bCs/>
          <w:color w:val="070F13" w:themeColor="text1"/>
          <w:sz w:val="24"/>
        </w:rPr>
        <w:tab/>
      </w:r>
      <w:fldSimple w:instr=" PAGEREF _Toc755828343 ">
        <w:r>
          <w:rPr>
            <w:rFonts w:asciiTheme="minorHAnsi" w:hAnsiTheme="minorHAnsi"/>
            <w:bCs/>
            <w:color w:val="070F13" w:themeColor="text1"/>
            <w:sz w:val="24"/>
          </w:rPr>
          <w:t xml:space="preserve">10</w:t>
        </w:r>
      </w:fldSimple>
    </w:p>
    <w:p>
      <w:pPr>
        <w:pStyle w:val="TOC1"/>
        <w:spacing w:before="120"/>
        <w:rPr/>
      </w:pPr>
      <w:r>
        <w:rPr>
          <w:rFonts w:asciiTheme="minorHAnsi" w:hAnsiTheme="minorHAnsi"/>
          <w:bCs/>
          <w:color w:val="070F13" w:themeColor="text1"/>
          <w:sz w:val="24"/>
        </w:rPr>
        <w:t xml:space="preserve">F3 Non-compliance with tax laws in payroll processing</w:t>
      </w:r>
      <w:r>
        <w:rPr>
          <w:rFonts w:asciiTheme="minorHAnsi" w:hAnsiTheme="minorHAnsi"/>
          <w:bCs/>
          <w:color w:val="070F13" w:themeColor="text1"/>
          <w:sz w:val="24"/>
        </w:rPr>
        <w:tab/>
      </w:r>
      <w:fldSimple w:instr=" PAGEREF _Toc1760624267 ">
        <w:r>
          <w:rPr>
            <w:rFonts w:asciiTheme="minorHAnsi" w:hAnsiTheme="minorHAnsi"/>
            <w:bCs/>
            <w:color w:val="070F13" w:themeColor="text1"/>
            <w:sz w:val="24"/>
          </w:rPr>
          <w:t xml:space="preserve">13</w:t>
        </w:r>
      </w:fldSimple>
    </w:p>
    <w:p>
      <w:pPr>
        <w:pStyle w:val="TOC1"/>
        <w:spacing w:before="120"/>
        <w:rPr/>
      </w:pPr>
      <w:r>
        <w:rPr>
          <w:rFonts w:asciiTheme="minorHAnsi" w:hAnsiTheme="minorHAnsi"/>
          <w:bCs/>
          <w:color w:val="070F13" w:themeColor="text1"/>
          <w:sz w:val="24"/>
        </w:rPr>
        <w:t xml:space="preserve">F4 Lack of title deed for Kilifi Branch land</w:t>
      </w:r>
      <w:r>
        <w:rPr>
          <w:rFonts w:asciiTheme="minorHAnsi" w:hAnsiTheme="minorHAnsi"/>
          <w:bCs/>
          <w:color w:val="070F13" w:themeColor="text1"/>
          <w:sz w:val="24"/>
        </w:rPr>
        <w:tab/>
      </w:r>
      <w:fldSimple w:instr=" PAGEREF _Toc1543012625 ">
        <w:r>
          <w:rPr>
            <w:rFonts w:asciiTheme="minorHAnsi" w:hAnsiTheme="minorHAnsi"/>
            <w:bCs/>
            <w:color w:val="070F13" w:themeColor="text1"/>
            <w:sz w:val="24"/>
          </w:rPr>
          <w:t xml:space="preserve">16</w:t>
        </w:r>
      </w:fldSimple>
    </w:p>
    <w:p>
      <w:pPr>
        <w:pStyle w:val="TOC1"/>
        <w:spacing w:before="120"/>
        <w:rPr/>
      </w:pPr>
      <w:r>
        <w:rPr>
          <w:rFonts w:asciiTheme="minorHAnsi" w:hAnsiTheme="minorHAnsi"/>
          <w:bCs/>
          <w:color w:val="070F13" w:themeColor="text1"/>
          <w:sz w:val="24"/>
        </w:rPr>
        <w:t xml:space="preserve">F5 Variances between Audited closing balances and Current-year opening balances</w:t>
      </w:r>
      <w:r>
        <w:rPr>
          <w:rFonts w:asciiTheme="minorHAnsi" w:hAnsiTheme="minorHAnsi"/>
          <w:bCs/>
          <w:color w:val="070F13" w:themeColor="text1"/>
          <w:sz w:val="24"/>
        </w:rPr>
        <w:tab/>
      </w:r>
      <w:fldSimple w:instr=" PAGEREF _Toc651414556 ">
        <w:r>
          <w:rPr>
            <w:rFonts w:asciiTheme="minorHAnsi" w:hAnsiTheme="minorHAnsi"/>
            <w:bCs/>
            <w:color w:val="070F13" w:themeColor="text1"/>
            <w:sz w:val="24"/>
          </w:rPr>
          <w:t xml:space="preserve">17</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1332812978"/>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purpose of this audit was to evaluate the effectiveness of internal controls and risk management practices within Kilifi and Mombasa branch. Specifically, the audit aims to assess various aspects, including internal controls over cash and bank management, Income and Expenditure, inventory management, payables and receivables, governance, procurement, land, warehouse, follow up of external audits management letter and confirmation of opening balances FY 2025.</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mandate of Internal Audit and Risk assurance is to assess that risks are managed comprehensively and provide assurance regarding the effectiveness of internal controls. This ensures the Society operates efficiently and effectively as a whole. The Kilifi and Mombasa branch spot checks are a vital component of the 2025 approved annual internal audit work plan.</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The review was designed to cover governance, risk management and internal control processes for the period July 2025 to October 2025.</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250515294"/>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0%</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pPr>
      <w:r>
        <w:rPr>
          <w:rFonts w:ascii="Calibri" w:hAnsi="Calibri"/>
          <w:color w:val="070F13" w:themeColor="text1"/>
          <w:sz w:val="24"/>
          <w:szCs w:val="24"/>
        </w:rPr>
        <w:t xml:space="preserve">Following our review, we conclude that the control environment within the KRCS Coast Region branches (Kilifi and Mombasa) </w:t>
      </w:r>
      <w:r>
        <w:rPr>
          <w:rFonts w:ascii="Calibri" w:hAnsi="Calibri"/>
          <w:b w:val="on"/>
          <w:color w:val="070F13" w:themeColor="text1"/>
          <w:sz w:val="24"/>
          <w:szCs w:val="24"/>
        </w:rPr>
        <w:t xml:space="preserve">NEEDS IMPROVEMENT</w:t>
      </w:r>
      <w:r>
        <w:rPr>
          <w:rFonts w:ascii="Calibri" w:hAnsi="Calibri"/>
          <w:b w:val="off"/>
          <w:color w:val="070F13" w:themeColor="text1"/>
          <w:sz w:val="24"/>
          <w:szCs w:val="24"/>
        </w:rPr>
        <w:t xml:space="preserve">. Several control gaps were identified across key operational and financial processes, as detailed in this report. These weaknesses call for timely management action to strengthen internal controls, promote accountability, and enhance overall operational efficiency.</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Notably;</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The Coast Region has made commendable progress in financial management, with satisfactory governance and warehousing controls and strong overall branch performance. However, gaps were noted in cash management specifically, missing bank reconciliations at the Kilifi branch (BNK010) since August 2019, attributed to an IT system issue. Additionally, three vehicles (two in Mombasa and one in Kilifi) had exceeded the replacement threshold but had not been disposed off as required.</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While the region continues to strengthen financial, cash, and bank management processes, timely resolution of these issues will enhance compliance and promote sound financial governance. The audit team appreciates the Coast Region’s cooperation and encourages continued focus on improving control areas to uphold KRCS policies and standards</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246405807"/>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Cash and Bank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controls around Income and Expenditure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3</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Payables and Receivables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To review governance practices to assess their adequacy and </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Opening balances review</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Warehouse Review</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controls around procurement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Land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6</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6</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5</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935960247"/>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Management of payables and receivables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procurement and contract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RLO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Non-compliance with tax laws in payroll processing</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F4</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Lack of title deed for Kilifi Branch land</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 Kilifi Branch</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F5</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Variances between Audited closing balances and Current-year opening balances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Low</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1248220115"/>
            <w:r>
              <w:rPr/>
              <w:t xml:space="preserve"> F1 Gaps in Management of payables and receivables</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Payables and Receivables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6,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1.Long outstanding payables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Best practice guides that overdue payables should be assessed against the organization's established accounts payable policies, vendor agreements, and payment terms. The extent of overdue payments should be identified, and their impact on operational efficiency, financial consequences, and internal controls should be evaluated. Additionally, the potential risks, including reputational damage or legal action, should be considered, along with management’s awareness and actions to resolve the overdue payables.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From our review of payables for the two branches we observed that Kilifi branch had long overdue payables over 360 days as summarized below which required management action </w:t>
            </w:r>
          </w:p>
          <w:tbl>
            <w:tblPr>
              <w:tblW w:w="1358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579"/>
              <w:gridCol w:w="4451"/>
              <w:gridCol w:w="1780"/>
              <w:gridCol w:w="1814"/>
              <w:gridCol w:w="1978"/>
              <w:gridCol w:w="1978"/>
            </w:tblGrid>
            <w:tr>
              <w:trPr/>
              <w:tc>
                <w:tcPr>
                  <w:tcW w:w="0" w:type="auto"/>
                  <w:shd w:val="clear" w:color="FFFFFF" w:fill="E7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Vendor No </w:t>
                  </w:r>
                </w:p>
              </w:tc>
              <w:tc>
                <w:tcPr>
                  <w:tcW w:w="0" w:type="auto"/>
                  <w:shd w:val="clear" w:color="FFFFFF" w:fill="E7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Vendor Name </w:t>
                  </w:r>
                </w:p>
              </w:tc>
              <w:tc>
                <w:tcPr>
                  <w:tcW w:w="0" w:type="auto"/>
                  <w:shd w:val="clear" w:color="FFFFFF" w:fill="E7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0-180Days </w:t>
                  </w:r>
                </w:p>
              </w:tc>
              <w:tc>
                <w:tcPr>
                  <w:tcW w:w="0" w:type="auto"/>
                  <w:shd w:val="clear" w:color="FFFFFF" w:fill="E7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180-360Days </w:t>
                  </w:r>
                </w:p>
              </w:tc>
              <w:tc>
                <w:tcPr>
                  <w:tcW w:w="0" w:type="auto"/>
                  <w:shd w:val="clear" w:color="FFFFFF" w:fill="E7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Over360Days </w:t>
                  </w:r>
                </w:p>
              </w:tc>
              <w:tc>
                <w:tcPr>
                  <w:tcW w:w="0" w:type="auto"/>
                  <w:shd w:val="clear" w:color="FFFFFF" w:fill="E7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CR0065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Kenya Power &amp; Lighting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(53,436.00)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(53,436.00)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CR0689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Coast Region Supply Chain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(406,582.00)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(510,635.00)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(917,217.00)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CR1926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Malindi Pearl Hotel Ltd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(223,500.00)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(11,250.00)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(234,750.00)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CR1970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Malindi Books &amp; Stationeries Store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(37,950.00)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(37,950.00)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CR2036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Bomani Enterprises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(21,310.00)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(21,310.00)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CR2538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Bendez Cafe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(21,000.00)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(21,000.00)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CR2608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Raghib store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(599,999.97)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(599,999.97)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CR2631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NETKENYA OFFICE SOLUTION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11,600.00 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11,600.00 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CR2652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Mudzini Youth Group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81,000.00 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(231,000.00)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(150,000.00)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CR2669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PKF Kenya LLP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CR2744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AMS Insurance Brokers Ltd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(40,181.00)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(40,181.00)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CR2754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Kenyan Alliance Insurance Co Ltd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(14,310.00)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(14,310.00)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CR2774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Pioneer General Insurance limited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10,806.00 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(265,263.00)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(254,457.00)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CR2827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Adismo Auto Garage Ltd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(69,000.00)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234,512.00 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(234,512.00)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(69,000.00)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CR2841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Kalken Security Group Ltd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(17,200.00)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(17,200.00)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(34,400.00) </w:t>
                  </w:r>
                </w:p>
              </w:tc>
            </w:tr>
            <w:tr>
              <w:trPr/>
              <w:tc>
                <w:tcPr>
                  <w:tcW w:w="0" w:type="auto"/>
                  <w:shd w:val="clear" w:color="FFFFFF" w:fill="E7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Total  </w:t>
                  </w:r>
                </w:p>
              </w:tc>
              <w:tc>
                <w:tcPr>
                  <w:tcW w:w="0" w:type="auto"/>
                  <w:shd w:val="clear" w:color="FFFFFF" w:fill="E7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E7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(8,712.00) </w:t>
                  </w:r>
                </w:p>
              </w:tc>
              <w:tc>
                <w:tcPr>
                  <w:tcW w:w="0" w:type="auto"/>
                  <w:shd w:val="clear" w:color="FFFFFF" w:fill="E7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(605,170.00) </w:t>
                  </w:r>
                </w:p>
              </w:tc>
              <w:tc>
                <w:tcPr>
                  <w:tcW w:w="0" w:type="auto"/>
                  <w:shd w:val="clear" w:color="FFFFFF" w:fill="E7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(1,722,528.82) </w:t>
                  </w:r>
                </w:p>
              </w:tc>
              <w:tc>
                <w:tcPr>
                  <w:tcW w:w="0" w:type="auto"/>
                  <w:shd w:val="clear" w:color="FFFFFF" w:fill="E7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(2,336,410.82)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2.Long outstanding receivables and related party balances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Effective management of receivables and related party transactions is a key element of sound financial governance. It ensures that funds due to the organization are collected promptly, financial records remain accurate, and liquidity is maintained to support operational efficiency. Failure to manage these balances effectively may result in financial exposure, misstatements, and weakened accountability across branches.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Based on good financial management practices and KRCS accounting procedures, all receivables and related party accounts should be </w:t>
            </w: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reconciled regularly, and outstanding balances promptly cleared or adequately justified to ensure accuracy in financial reporting and strong internal control. However, our review of receivables and intercompany transactions revealed that both Mombasa and Kilifi branches had significant long-outstanding balances that remained unreconciled and unsettled. Specifically, debtors over 360 days amounted to Ksh. 12,541,301.76 for Mombasa branch and Ksh. 3,520,271.40 for Kilifi branch, largely relating to related KRCS entity transactions. This indicates lapses in periodic reconciliation, monitoring, and follow-up of receivable accounts. Detailed analysis is on attached annexure V</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3F3D3C"/>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Cash flow constraints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Inadequate prioritization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Inadequate follow-up on recoveries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Lack of structured reconciliation between the branches and their related entities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Operational disruptions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Strain in supplier relations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Financial loss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Management should implement a clear payment prioritization</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Management should ensure there is efficient cash flow management</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ensure write off of irrecoverable related party balances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ensure adequate follow up on recovering related party balances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755828343"/>
            <w:r>
              <w:rPr/>
              <w:t xml:space="preserve"> F2 Gaps in procurement and contract management</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controls around procurement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RLO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6,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Procurement management is a critical function within the Society, playing a key role in ensuring the success of programs and the satisfaction of users and beneficiaries. It involves the systematic planning, sourcing, purchasing, and management of vendors, all conducted within established budgets and timelines. Effective procurement management not only contributes to cost savings and operational efficiency but also strengthens quality assurance across all acquisitions. Furthermore, the procurement process is designed to promote fair competition and uphold transparency, ensuring that resources are utilized responsibly and equitably. From our review of procurements at the branch we observed the following gaps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1.Absence of Framework Agreements for Food Supplies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According to the KRCS Procurement Manual, Section 5.5 on Framework Agreements/Contracts, framework agreements must be established and maintained for frequently used, routine, and commonly procured items. The procurement function is required to have valid, signed framework agreements with prequalified suppliers supported by a documented comparative bid analysis  (CBA) and duly approved procurement minutes. These agreements should clearly stipulate prices, terms, and conditions to ensure value for money, flexibility, and timely procurement. All call-off orders for items under framework arrangements should be made strictly against valid contracts, and procurement files must contain complete supporting documentation including the signed agreements and approval records to demonstrate compliance. The absence of such agreements constitutes non-compliance with the procurement manual and exposes KRCS to risks of lack of value for money and uncompetitive pricing. From our review of procurements at the Mombasa Branch, we observed that the branch had engaged several suppliers for the provision of food items used in conferencing services. However, this engagement was only supported by procurement committee minutes that identified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selected suppliers; no formal framework agreements, contracts, or comparative bid analysis (CBAs) were maintained to support this arrangement.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2.Inadequate Insurance renewal documentation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Our review of the insurance engagement between Mombasa Branch and Al-Amin Insurance Brokers Limited, which covered fire, burglary, all risk, WIBA, employer’s liability, and public liability, revealed that no valid insurance policy documents or formal contracts were maintained to support the engagement. The only records available were a renewal notice and a liability schedule. Additionally, while the insurance coverage had been renewed for the current year, there was no evidence of a documented procurement process or evaluation of the provider prior to renewal. According to the KRCS Procurement Manual and best procurement practices, all service engagements should be supported by valid contracts or policy documents detailing the scope of coverage, premiums, terms, and conditions, and renewals should be preceded by a documented procurement process or performance review to ensure competitiveness, transparency, and value for money.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3.Contracts signed at branch level</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Our review noted that several contracts at both the Mombasa and Kilifi branches specifically, the security contract with Radar (Mombasa), the garbage disposal contract with Baus Taka (Mombasa), and the internet service agreement with Tandaa (Kilifi) were signed by County Coordinators. This occurred despite the fact that the official Designation of Authority Matrix from the Secretary General (SG) had not yet been finalized or formally approved.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signing of contracts without an approved designation of authority framework implies that the individuals authorizing these agreements may not have had formally delegated authority. In line with sound governance and internal control principles, as well as KRCS’s internal policies, all contracts and commitments should be signed only by officers with formally documented and approved delegated authority. This ensures accountability, compliance, and the enforceability of agreements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formalization in supplier engagement.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Overreliance on past providers without competitive reassessment.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Poor contract management and record-keeping practices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Limited capacity and awareness among branch procurement personnel</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clear governance and delegated authority frameworks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Reputational damage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legal exposure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value for money</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enhance document and contract management</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conduct regular training and upskilling  for branch procurement staff</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restrict contract signing and approvals strictly to officers with documented authority</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1760624267"/>
            <w:r>
              <w:rPr/>
              <w:t xml:space="preserve"> F3 Non-compliance with tax laws in payroll processing</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controls around Income and Expenditure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6,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1.Continuous Application of SHIF Relief Contrary to the Tax Laws (Amendment) Act, 2024</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Pay As You Earn (PAYE) is a statutory requirement under the Income Tax Act that mandates employers to deduct and remit income tax on employees’ earnings to the Kenya Revenue Authority (KRA) on a monthly basis. Accurate computation and timely remittance of PAYE are essential for ensuring compliance with tax laws, avoiding penalties, and maintaining the society's reputation for fiscal integrity. Non-compliance or incorrect application of tax provisions can result in financial exposure, regulatory sanctions, and erosion of stakeholder confidence.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According to the Kenya Revenue Authority (KRA) directive issued pursuant to the Tax Laws (Amendment) Act, 2024, which took effect on 27th December 2024, certain tax reliefs including the Affordable housing relief and the Post-Retirement medical fund relief ceased to apply. While contributions to the SHIF are recognized as allowable deductions in determining taxable income, the SHIF relief itself was abolished, and employers were required to update their payroll computations accordingly to remain compliant. Our review of payroll records at Mombasa Branch revealed that the branch continued to apply Social Health Insurance Fund (SHIF) tax relief in payroll computations after 27th December 2024, below is a recalculation of payroll for the month of October 2025 with an approximate cumulative variance of Ksh 19723.40 for the year </w:t>
            </w:r>
          </w:p>
          <w:tbl>
            <w:tblPr>
              <w:tblW w:w="974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753"/>
              <w:gridCol w:w="2231"/>
              <w:gridCol w:w="1863"/>
              <w:gridCol w:w="2387"/>
              <w:gridCol w:w="1506"/>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GROSS SALARY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EMPLOYEE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BASIC SALARY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NET PAY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Recomputed NP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Variance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JNH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18,963.00 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18,847.00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116.00 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BMZ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15,963.00 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15,847.00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116.00 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NKN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34,176.40 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34,003.15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173.25 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45,559.15 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45,311.65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247.50 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48,500.00 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38,286.84 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38,086.25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200.59 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33,000.00 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28,349.25 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28,212.75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136.50 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CSE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33,000.00 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28,349.25 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28,212.75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136.50 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26,317.50 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26,193.75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123.75 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LYA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39,235.40 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39,029.15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206.25 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35,000.00 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29,703.75 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29,559.00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144.75 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AGM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26,317.50 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26,193.75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123.75 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JSK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26,317.50 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26,193.75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123.75 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JGM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26,317.50 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26,193.75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123.75 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22,437.50 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22,437.50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17,950.00 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17,950.00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508,500.00 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424,243.54 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422,271.20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1,972.34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Delays in updating the payroll system</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awareness of the legislative changes among branch accountants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Fines and penalties due to non-compliance to income tax and statutory regulations.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adhere to income tax and statutory regulations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1543012625"/>
            <w:r>
              <w:rPr/>
              <w:t xml:space="preserve"> F4 Lack of title deed for Kilifi Branch land</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Land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CC Kilifi Branch</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order to evidence ownership a legal document that proofs ownership of land i.e. a title deed is necessary.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From the review of land ownership and management at the two branches (Mombasa and Kilifi) we noted that the land allocated to Kilifi branch does not have title deeds to confirm ownership of land. However, the branch was in the  process of engaging surveyors to commence this process of obtaining  the title deed and the issue had been escalated to the lands officer.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Delays from surveyors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legal basis where land dispute arises due to lack of land ownership</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fast track the process of acquisition of title deed to confirm and ascertain that they are the real owners of the land.</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9" w:name="_Toc651414556"/>
            <w:r>
              <w:rPr/>
              <w:t xml:space="preserve"> F5 Variances between Audited closing balances and Current-year opening balances</w:t>
            </w:r>
            <w:bookmarkEnd w:id="9"/>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Opening balances review</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Low</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6,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Accurate carry-forward of closing balances from the previous financial year is fundamental to ensuring the integrity and continuity of financial reporting. Consistency between audited financial statements and opening balances establishes a reliable foundation for current-year accounting and strengthens the credibility of financial information used for decision-making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In accordance with Generally Accepted Accounting Principles (GAAP) and sound financial management practices, the closing balances of the preceding financial year should be accurately carried forward as opening balances in the current financial year to ensure completeness and consistency in reporting. However, during our review of the 2025 financial year opening balances, we observed variances between the figures recorded in the financial system and those reflected in the audited financial statements. Specifically, discrepancies of Ksh 391,466.46 were noted for Kilifi Branch, and Ksh 19,637.23 for Mombasa Branch. Details of these variances are presented in Annexure VI attached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3F3D3C"/>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Delayed adjustments from prior-year audit findings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Compromised accuracy and reliability of financial statements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investigate the identified variances, reconcile the opening balances with the prior-year audited financial statements, and post necessary adjustments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Kilifi and Mombasa branch spot checks October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18</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Medium</c:v>
              </c:pt>
              <c:pt idx="1">
                <c:v>Low</c:v>
              </c:pt>
            </c:strLit>
          </c:cat>
          <c:val>
            <c:numLit>
              <c:formatCode>General</c:formatCode>
              <c:ptCount val="2"/>
              <c:pt idx="0">
                <c:v>4</c:v>
              </c:pt>
              <c:pt idx="1">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3"/>
              <c:pt idx="0">
                <c:v>RFO</c:v>
              </c:pt>
              <c:pt idx="1">
                <c:v>CC Kilifi Branch</c:v>
              </c:pt>
              <c:pt idx="2">
                <c:v>RLO</c:v>
              </c:pt>
            </c:strLit>
          </c:cat>
          <c:val>
            <c:numLit>
              <c:formatCode>General</c:formatCode>
              <c:ptCount val="3"/>
              <c:pt idx="0">
                <c:v>3</c:v>
              </c:pt>
              <c:pt idx="1">
                <c:v>1</c:v>
              </c:pt>
              <c:pt idx="2">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18</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2026-04-02T08:29:00Z</dcterms:created>
  <dcterms:modified xsi:type="dcterms:W3CDTF">2026-04-02T08:29:00Z</dcterms:modified>
</cp:coreProperties>
</file>