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Generated by Windward Reports version 15.34.0.90 (java), jvm: 1.8. os: Linux, osver: 5.10.248-247.988.amzn2.x86_64-->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body>
    <w:tbl>
      <w:tblPr>
        <w:tblStyle w:val="TableGrid"/>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ff" w:lastRow="off" w:firstColumn="off" w:lastColumn="off" w:noHBand="on" w:noVBand="on"/>
      </w:tblPr>
      <w:tblGrid>
        <w:gridCol w:w="14391"/>
      </w:tblGrid>
      <w:tr>
        <w:trPr>
          <w:trHeight w:val="5669" w:hRule="atLeast"/>
        </w:trPr>
        <w:tc>
          <w:tcPr>
            <w:tcW w:w="5000" w:type="pct"/>
            <w:shd w:val="clear" w:color="auto" w:fill="auto"/>
            <w:vAlign w:val="bottom"/>
          </w:tcPr>
          <w:p>
            <w:pPr>
              <w:pStyle w:val="PageHeading"/>
              <w:rPr>
                <w:color w:val="FFFFFF" w:themeColor="background1"/>
                <w:sz w:val="90"/>
                <w:szCs w:val="90"/>
              </w:rPr>
            </w:pPr>
            <w:bookmarkStart w:id="0" w:name="_Toc1369274434"/>
            <w:r>
              <w:rPr>
                <w:color w:val="FFFFFF" w:themeColor="background1"/>
                <w:sz w:val="90"/>
                <w:szCs w:val="90"/>
              </w:rPr>
              <w:t xml:space="preserve">KRCS North Rift Region Spot Check June 2025 Report</w:t>
            </w:r>
            <w:bookmarkEnd w:id="0"/>
          </w:p>
          <w:p>
            <w:pPr>
              <w:rPr/>
            </w:pPr>
          </w:p>
        </w:tc>
      </w:tr>
      <w:tr>
        <w:trPr>
          <w:trHeight w:val="2835" w:hRule="atLeast"/>
        </w:trPr>
        <w:tc>
          <w:tcPr>
            <w:tcW w:w="5000" w:type="pct"/>
            <w:shd w:val="clear" w:color="auto" w:fill="FFFFFF" w:themeFill="background1"/>
            <w:vAlign w:val="center"/>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firstRow="off" w:lastRow="off" w:firstColumn="off" w:lastColumn="off" w:noHBand="on" w:noVBand="on"/>
            </w:tblPr>
            <w:tblGrid>
              <w:gridCol w:w="4484"/>
              <w:gridCol w:w="4756"/>
              <w:gridCol w:w="4935"/>
            </w:tblGrid>
            <w:tr>
              <w:trPr>
                <w:cantSplit w:val="on"/>
                <w:trHeight w:val="1147" w:hRule="atLeast"/>
              </w:trPr>
              <w:tc>
                <w:tcPr>
                  <w:tcW w:w="1582" w:type="pct"/>
                  <w:vAlign w:val="center"/>
                </w:tcPr>
                <w:p>
                  <w:pPr>
                    <w:jc w:val="center"/>
                    <w:rPr/>
                  </w:pPr>
                  <w:r>
                    <w:drawing>
                      <wp:inline distT="0" distB="0" distL="0" distR="0">
                        <wp:extent cx="725170" cy="725170"/>
                        <wp:effectExtent l="0" t="0" r="11430" b="11430"/>
                        <wp:docPr id="4" name="OpinionPencil.png" descr="OpinionPencil.png"/>
                        <a:graphic xmlns:a="http://schemas.openxmlformats.org/drawingml/2006/main">
                          <a:graphicData uri="http://schemas.openxmlformats.org/drawingml/2006/picture">
                            <pic:pic xmlns:pic="http://schemas.openxmlformats.org/drawingml/2006/picture">
                              <pic:nvPicPr>
                                <pic:cNvPr id="1" name="OpinionPencil.png"/>
                                <pic:cNvPicPr/>
                              </pic:nvPicPr>
                              <pic:blipFill>
                                <a:blip r:embed="rId1"/>
                                <a:stretch>
                                  <a:fillRect/>
                                </a:stretch>
                              </pic:blipFill>
                              <pic:spPr xmlns:pic="http://schemas.openxmlformats.org/drawingml/2006/picture">
                                <a:xfrm xmlns:a="http://schemas.openxmlformats.org/drawingml/2006/main">
                                  <a:off x="0" y="0"/>
                                  <a:ext cx="725170" cy="725170"/>
                                </a:xfrm>
                                <a:prstGeom xmlns:a="http://schemas.openxmlformats.org/drawingml/2006/main" prst="rect">
                                  <a:avLst/>
                                </a:prstGeom>
                              </pic:spPr>
                            </pic:pic>
                          </a:graphicData>
                        </a:graphic>
                      </wp:inline>
                    </w:drawing>
                  </w:r>
                </w:p>
              </w:tc>
              <w:tc>
                <w:tcPr>
                  <w:tcW w:w="1678" w:type="pct"/>
                  <w:vAlign w:val="center"/>
                </w:tcPr>
                <w:p>
                  <w:pPr>
                    <w:jc w:val="center"/>
                    <w:rPr/>
                  </w:pPr>
                  <w:r>
                    <w:drawing>
                      <wp:inline distT="0" distB="0" distL="0" distR="0">
                        <wp:extent cx="719455" cy="725170"/>
                        <wp:effectExtent l="0" t="0" r="0" b="11430"/>
                        <wp:docPr id="5" name="CalnedarStart.png" descr="CalnedarStart.png"/>
                        <a:graphic xmlns:a="http://schemas.openxmlformats.org/drawingml/2006/main">
                          <a:graphicData uri="http://schemas.openxmlformats.org/drawingml/2006/picture">
                            <pic:pic xmlns:pic="http://schemas.openxmlformats.org/drawingml/2006/picture">
                              <pic:nvPicPr>
                                <pic:cNvPr id="2" name="CalnedarStart.png"/>
                                <pic:cNvPicPr/>
                              </pic:nvPicPr>
                              <pic:blipFill>
                                <a:blip r:embed="rId2"/>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c>
                <w:tcPr>
                  <w:tcW w:w="1741" w:type="pct"/>
                  <w:vAlign w:val="center"/>
                </w:tcPr>
                <w:p>
                  <w:pPr>
                    <w:jc w:val="center"/>
                    <w:rPr/>
                  </w:pPr>
                  <w:r>
                    <w:drawing>
                      <wp:inline distT="0" distB="0" distL="0" distR="0">
                        <wp:extent cx="719455" cy="725170"/>
                        <wp:effectExtent l="0" t="0" r="0" b="11430"/>
                        <wp:docPr id="6" name="CalendarEnd.png" descr="CalendarEnd.png"/>
                        <a:graphic xmlns:a="http://schemas.openxmlformats.org/drawingml/2006/main">
                          <a:graphicData uri="http://schemas.openxmlformats.org/drawingml/2006/picture">
                            <pic:pic xmlns:pic="http://schemas.openxmlformats.org/drawingml/2006/picture">
                              <pic:nvPicPr>
                                <pic:cNvPr id="3" name="CalendarEnd.png"/>
                                <pic:cNvPicPr/>
                              </pic:nvPicPr>
                              <pic:blipFill>
                                <a:blip r:embed="rId3"/>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r>
            <w:tr>
              <w:trPr>
                <w:cantSplit w:val="on"/>
                <w:trHeight w:val="467" w:hRule="atLeast"/>
              </w:trPr>
              <w:tc>
                <w:tcPr>
                  <w:tcW w:w="1582" w:type="pct"/>
                  <w:tcBorders>
                    <w:bottom w:val="single" w:sz="6" w:space="0" w:color="B2BCF6"/>
                  </w:tcBorders>
                </w:tcPr>
                <w:p>
                  <w:pPr>
                    <w:pStyle w:val="TableParagraph"/>
                    <w:spacing w:before="120" w:after="120"/>
                    <w:jc w:val="center"/>
                    <w:rPr>
                      <w:rFonts w:ascii="Calibri" w:hAnsi="Calibri"/>
                      <w:b w:val="on"/>
                      <w:color w:val="53529F"/>
                      <w:sz w:val="24"/>
                      <w:szCs w:val="24"/>
                    </w:rPr>
                  </w:pPr>
                  <w:r>
                    <w:rPr>
                      <w:rFonts w:ascii="Calibri" w:hAnsi="Calibri"/>
                      <w:b w:val="on"/>
                      <w:color w:val="53529F"/>
                      <w:sz w:val="24"/>
                      <w:szCs w:val="24"/>
                    </w:rPr>
                    <w:t xml:space="preserve">Conclusion/Rating</w:t>
                  </w:r>
                </w:p>
              </w:tc>
              <w:tc>
                <w:tcPr>
                  <w:tcW w:w="1678" w:type="pct"/>
                  <w:tcBorders>
                    <w:bottom w:val="single" w:sz="6" w:space="0" w:color="B2BCF6"/>
                  </w:tcBorders>
                </w:tcPr>
                <w:p>
                  <w:pPr>
                    <w:pStyle w:val="TableParagraph"/>
                    <w:tabs>
                      <w:tab w:val="decimal" w:leader="none" w:pos="2493"/>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Fieldwork Start Date</w:t>
                  </w:r>
                </w:p>
              </w:tc>
              <w:tc>
                <w:tcPr>
                  <w:tcW w:w="1741" w:type="pct"/>
                  <w:tcBorders>
                    <w:bottom w:val="single" w:sz="6" w:space="0" w:color="B2BCF6"/>
                  </w:tcBorders>
                </w:tcPr>
                <w:p>
                  <w:pPr>
                    <w:pStyle w:val="TableParagraph"/>
                    <w:tabs>
                      <w:tab w:val="left" w:leader="none" w:pos="4686"/>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Target Completion</w:t>
                  </w:r>
                </w:p>
              </w:tc>
            </w:tr>
            <w:tr>
              <w:trPr>
                <w:cantSplit w:val="on"/>
                <w:trHeight w:val="467" w:hRule="atLeast"/>
              </w:trPr>
              <w:tc>
                <w:tcPr>
                  <w:tcW w:w="1582" w:type="pct"/>
                  <w:tcBorders>
                    <w:top w:val="single" w:sz="6" w:space="0" w:color="B2BCF6"/>
                  </w:tcBorders>
                  <w:vAlign w:val="center"/>
                </w:tcPr>
                <w:p>
                  <w:pPr>
                    <w:pStyle w:val="TableParagraph"/>
                    <w:spacing w:before="120" w:after="120"/>
                    <w:ind w:left="1244" w:right="1176"/>
                    <w:jc w:val="center"/>
                    <w:rPr>
                      <w:rFonts w:ascii="Calibri" w:hAnsi="Calibri"/>
                      <w:color w:val="070F13" w:themeColor="text1"/>
                      <w:sz w:val="24"/>
                      <w:szCs w:val="24"/>
                    </w:rPr>
                  </w:pPr>
                  <w:r>
                    <w:rPr>
                      <w:rFonts w:ascii="Calibri" w:hAnsi="Calibri"/>
                      <w:color w:val="070F13" w:themeColor="text1"/>
                      <w:sz w:val="24"/>
                      <w:szCs w:val="24"/>
                    </w:rPr>
                    <w:t xml:space="preserve">Needs Improvement</w:t>
                  </w:r>
                </w:p>
              </w:tc>
              <w:tc>
                <w:tcPr>
                  <w:tcW w:w="1678"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June 11, 2025</w:t>
                  </w:r>
                </w:p>
              </w:tc>
              <w:tc>
                <w:tcPr>
                  <w:tcW w:w="1741"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July  4, 2025</w:t>
                  </w:r>
                </w:p>
              </w:tc>
            </w:tr>
          </w:tbl>
          <w:p>
            <w:pPr>
              <w:jc w:val="center"/>
              <w:rPr/>
            </w:pPr>
          </w:p>
        </w:tc>
      </w:tr>
      <w:tr>
        <w:trPr>
          <w:trHeight w:val="1701" w:hRule="atLeast"/>
        </w:trPr>
        <w:tc>
          <w:tcPr>
            <w:tcW w:w="5000" w:type="pct"/>
          </w:tcPr>
          <w:p>
            <w:pPr>
              <w:rPr/>
            </w:pPr>
          </w:p>
        </w:tc>
      </w:tr>
    </w:tbl>
    <w:p>
      <w:pPr>
        <w:rPr>
          <w:sz w:val="20"/>
        </w:rPr>
        <w:sectPr>
          <w:headerReference w:type="default" r:id="rId13"/>
          <w:headerReference w:type="first" r:id="rId14"/>
          <w:headerReference w:type="even" r:id="rId15"/>
          <w:footerReference w:type="default" r:id="rId16"/>
          <w:footerReference w:type="first" r:id="rId17"/>
          <w:footerReference w:type="even" r:id="rId18"/>
          <w:type w:val="continuous"/>
          <w:pgSz w:w="15840" w:h="12240" w:orient="landscape"/>
          <w:pgMar w:top="720" w:right="720" w:bottom="720" w:left="720" w:header="397" w:footer="397" w:gutter="0"/>
          <w:pgNumType w:start="1"/>
          <w:pgNumType w:start="1"/>
          <w:cols w:space="720"/>
          <w:textDirection w:val="lrTb"/>
          <w:bidi w:val="off"/>
        </w:sectPr>
      </w:pPr>
    </w:p>
    <w:p>
      <w:pPr>
        <w:pStyle w:val="BodyText"/>
        <w:rPr>
          <w:rFonts w:ascii="Times"/>
          <w:b w:val="off"/>
        </w:rPr>
      </w:pPr>
      <w:r>
        <w:drawing>
          <wp:anchor distT="0" distB="0" distL="114300" distR="114300" simplePos="0" relativeHeight="6144" behindDoc="1" layoutInCell="1" allowOverlap="1" locked="0">
            <wp:simplePos x="0" y="0"/>
            <wp:positionH relativeFrom="page">
              <wp:posOffset>485775</wp:posOffset>
            </wp:positionH>
            <wp:positionV relativeFrom="page">
              <wp:posOffset>327660</wp:posOffset>
            </wp:positionV>
            <wp:extent cx="9165590" cy="464185"/>
            <wp:effectExtent l="0" t="0" r="16510" b="12065"/>
            <wp:wrapNone/>
            <wp:docPr id="7" name="Shape 7"/>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16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BodyText"/>
                          <w:rPr>
                            <w:rFonts w:asciiTheme="minorHAnsi" w:hAnsiTheme="minorHAnsi"/>
                            <w:b w:val="off"/>
                            <w:color w:val="53529F"/>
                            <w:sz w:val="56"/>
                            <w:szCs w:val="56"/>
                          </w:rPr>
                        </w:pPr>
                        <w:r>
                          <w:rPr>
                            <w:rFonts w:asciiTheme="minorHAnsi" w:hAnsiTheme="minorHAnsi"/>
                            <w:b w:val="off"/>
                            <w:color w:val="53529F"/>
                            <w:sz w:val="56"/>
                            <w:szCs w:val="56"/>
                          </w:rPr>
                          <w:t xml:space="preserve">Table of Contents</w:t>
                        </w:r>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1264" behindDoc="0" layoutInCell="1" allowOverlap="1" locked="0">
                <wp:simplePos x="0" y="0"/>
                <wp:positionH relativeFrom="page">
                  <wp:posOffset>457200</wp:posOffset>
                </wp:positionH>
                <wp:positionV relativeFrom="page">
                  <wp:posOffset>267335</wp:posOffset>
                </wp:positionV>
                <wp:extent cx="9117330" cy="572135"/>
                <wp:effectExtent l="0" t="0" r="7620" b="19050"/>
                <wp:wrapNone/>
                <wp:docPr id="8" name="Group 8"/>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7584" cy="572082"/>
                          <a:chOff x="2144" y="360"/>
                          <a:chExt cx="11536" cy="1138"/>
                        </a:xfrm>
                      </wpg:grpSpPr>
                      <wps:wsp>
                        <wps:cNvPr xmlns:wps="http://schemas.microsoft.com/office/word/2010/wordprocessingShape" id="11"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12"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291DCE90" id="Group 10" o:spid="_x0000_s1026" style="position:absolute;margin-left:36pt;margin-top:21.05pt;width:717.9pt;height:45.05pt;z-index:251702272;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sttMAAAADbAAAADwAAAGRycy9kb3ducmV2LnhtbERPTYvCMBC9C/sfwix409Q9iHaNIksL&#10;3sSqu3scmrGtNpPSRFv/vREEb/N4n7NY9aYWN2pdZVnBZByBIM6trrhQcNinoxkI55E11pZJwZ0c&#10;rJYfgwXG2na8o1vmCxFC2MWooPS+iaV0eUkG3dg2xIE72dagD7AtpG6xC+Gmll9RNJUGKw4NJTb0&#10;U1J+ya5Gwfn3uOu2Sdp3d5Mm/wn9ZfMtKzX87NffIDz1/i1+uTc6zJ/A85dwgFw+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9bLbTAAAAA2wAAAA8AAAAAAAAAAAAAAAAA&#10;oQIAAGRycy9kb3ducmV2LnhtbFBLBQYAAAAABAAEAPkAAACO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39R/8EAAADbAAAADwAAAGRycy9kb3ducmV2LnhtbERPTWvCQBC9F/wPyxS81Y1STRuzEQkU&#10;vEltDx6H7JiEZmdDdmMSf70rFLzN431OuhtNI67UudqyguUiAkFcWF1zqeD35+vtA4TzyBoby6Rg&#10;Ige7bPaSYqLtwN90PflShBB2CSqovG8TKV1RkUG3sC1x4C62M+gD7EqpOxxCuGnkKoo20mDNoaHC&#10;lvKKir9TbxTk07pfcvz53tzON2fPrj7Gfa7U/HXcb0F4Gv1T/O8+6DB/BY9fwgEyu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f1H/wQAAANsAAAAPAAAAAAAAAAAAAAAA&#10;AKECAABkcnMvZG93bnJldi54bWxQSwUGAAAAAAQABAD5AAAAjwMAAAAA&#10;" strokecolor="#53529f" strokeweight="3.6pt"/>
                <w10:wrap xmlns:w10="urn:schemas-microsoft-com:office:word" anchorx="page" anchory="page"/>
              </v:group>
            </w:pict>
          </mc:Fallback>
        </mc:AlternateContent>
      </w:r>
    </w:p>
    <w:p>
      <w:pPr>
        <w:pStyle w:val="TOC1"/>
        <w:rPr/>
      </w:pPr>
    </w:p>
    <w:p>
      <w:pPr>
        <w:rPr/>
      </w:pPr>
    </w:p>
    <w:p>
      <w:pPr>
        <w:rPr/>
      </w:pPr>
      <w:r>
        <w:fldChar w:fldCharType="begin"/>
      </w:r>
      <w:r>
        <w:instrText xml:space="preserve"> TOC \f \t "Page Heading,1" </w:instrText>
      </w:r>
      <w:r>
        <w:fldChar w:fldCharType="separate"/>
      </w:r>
    </w:p>
    <w:p>
      <w:pPr>
        <w:pStyle w:val="TOC1"/>
        <w:spacing w:before="120"/>
        <w:rPr/>
      </w:pPr>
      <w:r>
        <w:rPr>
          <w:rFonts w:asciiTheme="minorHAnsi" w:hAnsiTheme="minorHAnsi"/>
          <w:bCs/>
          <w:color w:val="070F13" w:themeColor="text1"/>
          <w:sz w:val="24"/>
        </w:rPr>
        <w:t xml:space="preserve">Purpose, Background and Scope</w:t>
      </w:r>
      <w:r>
        <w:rPr>
          <w:rFonts w:asciiTheme="minorHAnsi" w:hAnsiTheme="minorHAnsi"/>
          <w:bCs/>
          <w:color w:val="070F13" w:themeColor="text1"/>
          <w:sz w:val="24"/>
        </w:rPr>
        <w:tab/>
      </w:r>
      <w:fldSimple w:instr=" PAGEREF _Toc1909815456 ">
        <w:r>
          <w:rPr>
            <w:rFonts w:asciiTheme="minorHAnsi" w:hAnsiTheme="minorHAnsi"/>
            <w:bCs/>
            <w:color w:val="070F13" w:themeColor="text1"/>
            <w:sz w:val="24"/>
          </w:rPr>
          <w:t xml:space="preserve">3</w:t>
        </w:r>
      </w:fldSimple>
    </w:p>
    <w:p>
      <w:pPr>
        <w:pStyle w:val="TOC1"/>
        <w:spacing w:before="120"/>
        <w:rPr/>
      </w:pPr>
      <w:r>
        <w:rPr>
          <w:rFonts w:asciiTheme="minorHAnsi" w:hAnsiTheme="minorHAnsi"/>
          <w:bCs/>
          <w:color w:val="070F13" w:themeColor="text1"/>
          <w:sz w:val="24"/>
        </w:rPr>
        <w:t xml:space="preserve">Results</w:t>
      </w:r>
      <w:r>
        <w:rPr>
          <w:rFonts w:asciiTheme="minorHAnsi" w:hAnsiTheme="minorHAnsi"/>
          <w:bCs/>
          <w:color w:val="070F13" w:themeColor="text1"/>
          <w:sz w:val="24"/>
        </w:rPr>
        <w:tab/>
      </w:r>
      <w:fldSimple w:instr=" PAGEREF _Toc1211367495 ">
        <w:r>
          <w:rPr>
            <w:rFonts w:asciiTheme="minorHAnsi" w:hAnsiTheme="minorHAnsi"/>
            <w:bCs/>
            <w:color w:val="070F13" w:themeColor="text1"/>
            <w:sz w:val="24"/>
          </w:rPr>
          <w:t xml:space="preserve">4</w:t>
        </w:r>
      </w:fldSimple>
    </w:p>
    <w:p>
      <w:pPr>
        <w:pStyle w:val="TOC1"/>
        <w:spacing w:before="120"/>
        <w:rPr/>
      </w:pPr>
      <w:r>
        <w:rPr>
          <w:rFonts w:asciiTheme="minorHAnsi" w:hAnsiTheme="minorHAnsi"/>
          <w:bCs/>
          <w:color w:val="070F13" w:themeColor="text1"/>
          <w:sz w:val="24"/>
        </w:rPr>
        <w:t xml:space="preserve">Results Summary</w:t>
      </w:r>
      <w:r>
        <w:rPr>
          <w:rFonts w:asciiTheme="minorHAnsi" w:hAnsiTheme="minorHAnsi"/>
          <w:bCs/>
          <w:color w:val="070F13" w:themeColor="text1"/>
          <w:sz w:val="24"/>
        </w:rPr>
        <w:tab/>
      </w:r>
      <w:fldSimple w:instr=" PAGEREF _Toc1093982525 ">
        <w:r>
          <w:rPr>
            <w:rFonts w:asciiTheme="minorHAnsi" w:hAnsiTheme="minorHAnsi"/>
            <w:bCs/>
            <w:color w:val="070F13" w:themeColor="text1"/>
            <w:sz w:val="24"/>
          </w:rPr>
          <w:t xml:space="preserve">5</w:t>
        </w:r>
      </w:fldSimple>
    </w:p>
    <w:p>
      <w:pPr>
        <w:pStyle w:val="TOC1"/>
        <w:spacing w:before="120"/>
        <w:rPr/>
      </w:pPr>
      <w:r>
        <w:rPr>
          <w:rFonts w:asciiTheme="minorHAnsi" w:hAnsiTheme="minorHAnsi"/>
          <w:bCs/>
          <w:color w:val="070F13" w:themeColor="text1"/>
          <w:sz w:val="24"/>
        </w:rPr>
        <w:t xml:space="preserve">Summary of Issues</w:t>
      </w:r>
      <w:r>
        <w:rPr>
          <w:rFonts w:asciiTheme="minorHAnsi" w:hAnsiTheme="minorHAnsi"/>
          <w:bCs/>
          <w:color w:val="070F13" w:themeColor="text1"/>
          <w:sz w:val="24"/>
        </w:rPr>
        <w:tab/>
      </w:r>
      <w:fldSimple w:instr=" PAGEREF _Toc1472851368 ">
        <w:r>
          <w:rPr>
            <w:rFonts w:asciiTheme="minorHAnsi" w:hAnsiTheme="minorHAnsi"/>
            <w:bCs/>
            <w:color w:val="070F13" w:themeColor="text1"/>
            <w:sz w:val="24"/>
          </w:rPr>
          <w:t xml:space="preserve">6</w:t>
        </w:r>
      </w:fldSimple>
    </w:p>
    <w:p>
      <w:pPr>
        <w:pStyle w:val="TOC1"/>
        <w:spacing w:before="120"/>
        <w:rPr/>
      </w:pPr>
      <w:r>
        <w:rPr>
          <w:rFonts w:asciiTheme="minorHAnsi" w:hAnsiTheme="minorHAnsi"/>
          <w:bCs/>
          <w:color w:val="070F13" w:themeColor="text1"/>
          <w:sz w:val="24"/>
        </w:rPr>
        <w:t xml:space="preserve">F1 Non standardization of  Power of Humanity Walk</w:t>
      </w:r>
      <w:r>
        <w:rPr>
          <w:rFonts w:asciiTheme="minorHAnsi" w:hAnsiTheme="minorHAnsi"/>
          <w:bCs/>
          <w:color w:val="070F13" w:themeColor="text1"/>
          <w:sz w:val="24"/>
        </w:rPr>
        <w:tab/>
      </w:r>
      <w:fldSimple w:instr=" PAGEREF _Toc1176797106 ">
        <w:r>
          <w:rPr>
            <w:rFonts w:asciiTheme="minorHAnsi" w:hAnsiTheme="minorHAnsi"/>
            <w:bCs/>
            <w:color w:val="070F13" w:themeColor="text1"/>
            <w:sz w:val="24"/>
          </w:rPr>
          <w:t xml:space="preserve">7</w:t>
        </w:r>
      </w:fldSimple>
    </w:p>
    <w:p>
      <w:pPr>
        <w:pStyle w:val="TOC1"/>
        <w:spacing w:before="120"/>
        <w:rPr/>
      </w:pPr>
      <w:r>
        <w:rPr>
          <w:rFonts w:asciiTheme="minorHAnsi" w:hAnsiTheme="minorHAnsi"/>
          <w:bCs/>
          <w:color w:val="070F13" w:themeColor="text1"/>
          <w:sz w:val="24"/>
        </w:rPr>
        <w:t xml:space="preserve">F2 Weak controls around Income and Expenditure</w:t>
      </w:r>
      <w:r>
        <w:rPr>
          <w:rFonts w:asciiTheme="minorHAnsi" w:hAnsiTheme="minorHAnsi"/>
          <w:bCs/>
          <w:color w:val="070F13" w:themeColor="text1"/>
          <w:sz w:val="24"/>
        </w:rPr>
        <w:tab/>
      </w:r>
      <w:fldSimple w:instr=" PAGEREF _Toc2094179927 ">
        <w:r>
          <w:rPr>
            <w:rFonts w:asciiTheme="minorHAnsi" w:hAnsiTheme="minorHAnsi"/>
            <w:bCs/>
            <w:color w:val="070F13" w:themeColor="text1"/>
            <w:sz w:val="24"/>
          </w:rPr>
          <w:t xml:space="preserve">10</w:t>
        </w:r>
      </w:fldSimple>
    </w:p>
    <w:p>
      <w:pPr>
        <w:pStyle w:val="TOC1"/>
        <w:spacing w:before="120"/>
        <w:rPr/>
      </w:pPr>
      <w:r>
        <w:rPr>
          <w:rFonts w:asciiTheme="minorHAnsi" w:hAnsiTheme="minorHAnsi"/>
          <w:bCs/>
          <w:color w:val="070F13" w:themeColor="text1"/>
          <w:sz w:val="24"/>
        </w:rPr>
        <w:t xml:space="preserve">F3 Gaps in  Procurement</w:t>
      </w:r>
      <w:r>
        <w:rPr>
          <w:rFonts w:asciiTheme="minorHAnsi" w:hAnsiTheme="minorHAnsi"/>
          <w:bCs/>
          <w:color w:val="070F13" w:themeColor="text1"/>
          <w:sz w:val="24"/>
        </w:rPr>
        <w:tab/>
      </w:r>
      <w:fldSimple w:instr=" PAGEREF _Toc321185911 ">
        <w:r>
          <w:rPr>
            <w:rFonts w:asciiTheme="minorHAnsi" w:hAnsiTheme="minorHAnsi"/>
            <w:bCs/>
            <w:color w:val="070F13" w:themeColor="text1"/>
            <w:sz w:val="24"/>
          </w:rPr>
          <w:t xml:space="preserve">14</w:t>
        </w:r>
      </w:fldSimple>
    </w:p>
    <w:p>
      <w:pPr>
        <w:pStyle w:val="TOC1"/>
        <w:spacing w:before="120"/>
        <w:rPr/>
      </w:pPr>
      <w:r>
        <w:rPr>
          <w:rFonts w:asciiTheme="minorHAnsi" w:hAnsiTheme="minorHAnsi"/>
          <w:bCs/>
          <w:color w:val="070F13" w:themeColor="text1"/>
          <w:sz w:val="24"/>
        </w:rPr>
        <w:t xml:space="preserve">F4 Gaps in asset management</w:t>
      </w:r>
      <w:r>
        <w:rPr>
          <w:rFonts w:asciiTheme="minorHAnsi" w:hAnsiTheme="minorHAnsi"/>
          <w:bCs/>
          <w:color w:val="070F13" w:themeColor="text1"/>
          <w:sz w:val="24"/>
        </w:rPr>
        <w:tab/>
      </w:r>
      <w:fldSimple w:instr=" PAGEREF _Toc527763806 ">
        <w:r>
          <w:rPr>
            <w:rFonts w:asciiTheme="minorHAnsi" w:hAnsiTheme="minorHAnsi"/>
            <w:bCs/>
            <w:color w:val="070F13" w:themeColor="text1"/>
            <w:sz w:val="24"/>
          </w:rPr>
          <w:t xml:space="preserve">19</w:t>
        </w:r>
      </w:fldSimple>
    </w:p>
    <w:p>
      <w:pPr>
        <w:pStyle w:val="TOC1"/>
        <w:spacing w:before="120"/>
        <w:rPr/>
      </w:pPr>
      <w:r>
        <w:rPr>
          <w:rFonts w:asciiTheme="minorHAnsi" w:hAnsiTheme="minorHAnsi"/>
          <w:bCs/>
          <w:color w:val="070F13" w:themeColor="text1"/>
          <w:sz w:val="24"/>
        </w:rPr>
        <w:t xml:space="preserve">F5 Gaps in IGA planning in Bungoma</w:t>
      </w:r>
      <w:r>
        <w:rPr>
          <w:rFonts w:asciiTheme="minorHAnsi" w:hAnsiTheme="minorHAnsi"/>
          <w:bCs/>
          <w:color w:val="070F13" w:themeColor="text1"/>
          <w:sz w:val="24"/>
        </w:rPr>
        <w:tab/>
      </w:r>
      <w:fldSimple w:instr=" PAGEREF _Toc1572114071 ">
        <w:r>
          <w:rPr>
            <w:rFonts w:asciiTheme="minorHAnsi" w:hAnsiTheme="minorHAnsi"/>
            <w:bCs/>
            <w:color w:val="070F13" w:themeColor="text1"/>
            <w:sz w:val="24"/>
          </w:rPr>
          <w:t xml:space="preserve">22</w:t>
        </w:r>
      </w:fldSimple>
    </w:p>
    <w:p>
      <w:pPr>
        <w:pStyle w:val="TOC1"/>
        <w:spacing w:before="120"/>
        <w:rPr/>
      </w:pPr>
      <w:r>
        <w:rPr>
          <w:rFonts w:asciiTheme="minorHAnsi" w:hAnsiTheme="minorHAnsi"/>
          <w:bCs/>
          <w:color w:val="070F13" w:themeColor="text1"/>
          <w:sz w:val="24"/>
        </w:rPr>
        <w:t xml:space="preserve">F6 Volunteers playing key roles</w:t>
      </w:r>
      <w:r>
        <w:rPr>
          <w:rFonts w:asciiTheme="minorHAnsi" w:hAnsiTheme="minorHAnsi"/>
          <w:bCs/>
          <w:color w:val="070F13" w:themeColor="text1"/>
          <w:sz w:val="24"/>
        </w:rPr>
        <w:tab/>
      </w:r>
      <w:fldSimple w:instr=" PAGEREF _Toc541933093 ">
        <w:r>
          <w:rPr>
            <w:rFonts w:asciiTheme="minorHAnsi" w:hAnsiTheme="minorHAnsi"/>
            <w:bCs/>
            <w:color w:val="070F13" w:themeColor="text1"/>
            <w:sz w:val="24"/>
          </w:rPr>
          <w:t xml:space="preserve">24</w:t>
        </w:r>
      </w:fldSimple>
      <w:r>
        <w:fldChar w:fldCharType="end"/>
      </w:r>
    </w:p>
    <w:p>
      <w:pPr>
        <w:pStyle w:val="BodyText"/>
        <w:tabs>
          <w:tab w:val="right" w:leader="none" w:pos="12474"/>
        </w:tabs>
        <w:spacing w:before="240"/>
        <w:ind w:firstLine="2127"/>
        <w:rPr>
          <w:rFonts w:asciiTheme="minorHAnsi" w:hAnsiTheme="minorHAnsi"/>
          <w:b w:val="off"/>
          <w:color w:val="4A478A" w:themeColor="text2"/>
          <w:sz w:val="27"/>
        </w:rPr>
        <w:sectPr>
          <w:headerReference w:type="default" r:id="rId19"/>
          <w:type w:val="nextPage"/>
          <w:pgSz w:w="15840" w:h="12240" w:orient="landscape"/>
          <w:pgMar w:top="720" w:right="720" w:bottom="720" w:left="720" w:header="397" w:footer="397" w:gutter="0"/>
          <w:cols w:space="720"/>
          <w:textDirection w:val="lrTb"/>
          <w:bidi w:val="off"/>
        </w:sectPr>
      </w:pPr>
    </w:p>
    <w:p>
      <w:pPr>
        <w:pStyle w:val="BodyText"/>
        <w:rPr>
          <w:rFonts w:ascii="Times"/>
          <w:b w:val="off"/>
        </w:rPr>
      </w:pPr>
      <w:r>
        <w:drawing>
          <wp:anchor distT="0" distB="0" distL="114300" distR="114300" simplePos="0" relativeHeight="5120" behindDoc="1" layoutInCell="1" allowOverlap="1" locked="0">
            <wp:simplePos x="0" y="0"/>
            <wp:positionH relativeFrom="page">
              <wp:posOffset>484505</wp:posOffset>
            </wp:positionH>
            <wp:positionV relativeFrom="page">
              <wp:posOffset>327660</wp:posOffset>
            </wp:positionV>
            <wp:extent cx="8985886" cy="464185"/>
            <wp:effectExtent l="0" t="0" r="6350" b="12065"/>
            <wp:wrapNone/>
            <wp:docPr id="9" name="Shape 9"/>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1" w:name="_Toc1909815456"/>
                        <w:r>
                          <w:rPr>
                            <w:color w:val="53529F"/>
                          </w:rPr>
                          <w:t xml:space="preserve">Purpose, Background and Scope</w:t>
                        </w:r>
                        <w:bookmarkEnd w:id="1"/>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0240" behindDoc="0" layoutInCell="1" allowOverlap="1" locked="0">
                <wp:simplePos x="0" y="0"/>
                <wp:positionH relativeFrom="page">
                  <wp:posOffset>459105</wp:posOffset>
                </wp:positionH>
                <wp:positionV relativeFrom="page">
                  <wp:posOffset>267335</wp:posOffset>
                </wp:positionV>
                <wp:extent cx="9119870" cy="574675"/>
                <wp:effectExtent l="0" t="0" r="5715" b="15875"/>
                <wp:wrapNone/>
                <wp:docPr id="10" name="Group 10"/>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6A59AE62" id="Group 3" o:spid="_x0000_s1026" style="position:absolute;margin-left:36.15pt;margin-top:21.05pt;width:718.1pt;height:45.25pt;z-index:251700224;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ApnygIAAFc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KkTMMAAADaAAAADwAAAGRycy9kb3ducmV2LnhtbESPQWvCQBSE74L/YXlCb83GIqWNrkEk&#10;AW9ialuPj+xrkpp9G7LbJP77bqHgcZiZb5hNOplWDNS7xrKCZRSDIC6tbrhScH7LH19AOI+ssbVM&#10;Cm7kIN3OZxtMtB35REPhKxEg7BJUUHvfJVK6siaDLrIdcfC+bG/QB9lXUvc4Brhp5VMcP0uDDYeF&#10;Gjva11Reix+j4Pvj/TQes3wabybPLhl9Fq9HVuphMe3WIDxN/h7+bx+0ghX8XQk3QG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qSpEzDAAAA2g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sTNsIAAADaAAAADwAAAGRycy9kb3ducmV2LnhtbESPQWvCQBSE7wX/w/IK3urGYpo2uooE&#10;Ct7EtAePj+wzCc2+DdmNJvn1riD0OMzMN8xmN5hGXKlztWUFy0UEgriwuuZSwe/P99snCOeRNTaW&#10;ScFIDnbb2csGU21vfKJr7ksRIOxSVFB536ZSuqIig25hW+LgXWxn0AfZlVJ3eAtw08j3KPqQBmsO&#10;CxW2lFVU/OW9UZCNcb/k5GvVTOfJ2bOrj0mfKTV/HfZrEJ4G/x9+tg9aQQyPK+EGyO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YsTNsIAAADaAAAADwAAAAAAAAAAAAAA&#10;AAChAgAAZHJzL2Rvd25yZXYueG1sUEsFBgAAAAAEAAQA+QAAAJADA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Purpose</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Specific objectives are  </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 Review of Assets Management  </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Review of Receivables and Payable balances </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Review of procurement process  </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Review of income and payments </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  Accountability of walk money    </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Background</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The mandate of Internal Audit and Risk assurance is to assess that risks are managed comprehensively and provide assurance regarding the effectiveness of internal controls. This ensures the Society operates efficiently and effectively as a whole. The North Rift Region spot check is a vital component of the 2025 approved annual internal audit work plan.</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Scope</w:t>
            </w:r>
          </w:p>
        </w:tc>
      </w:tr>
    </w:tbl>
    <w:p>
      <w:pPr>
        <w:rPr>
          <w:rFonts w:ascii="Calibri" w:hAnsi="Calibri"/>
          <w:color w:val="070F13" w:themeColor="text1"/>
          <w:sz w:val="24"/>
          <w:szCs w:val="24"/>
        </w:rPr>
      </w:pPr>
    </w:p>
    <w:p>
      <w:pPr>
        <w:rPr>
          <w:sz w:val="20"/>
        </w:rPr>
        <w:sectPr>
          <w:headerReference w:type="default" r:id="rId20"/>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The scope of work is all branches in North Rift region for the period January to May 2025</w:t>
      </w:r>
    </w:p>
    <w:p>
      <w:pPr>
        <w:pStyle w:val="BodyText"/>
        <w:rPr>
          <w:rFonts w:ascii="Times"/>
          <w:b w:val="off"/>
        </w:rPr>
      </w:pPr>
      <w:r>
        <mc:AlternateContent>
          <mc:Choice Requires="wpg">
            <w:drawing>
              <wp:anchor distT="0" distB="0" distL="114300" distR="114300" simplePos="0" relativeHeight="12288"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1" name="Group 11"/>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3"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24"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469872AB" id="Group 19" o:spid="_x0000_s1026" style="position:absolute;margin-left:36pt;margin-top:20.95pt;width:718.05pt;height:45.25pt;z-index:251704320;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nc5cMAAADbAAAADwAAAGRycy9kb3ducmV2LnhtbESPQWvCQBSE74X+h+UVvOmmCmKjq5SS&#10;gDcxavX4yD6TaPZtyG5N/PeuIPQ4zMw3zGLVm1rcqHWVZQWfowgEcW51xYWC/S4dzkA4j6yxtkwK&#10;7uRgtXx/W2CsbcdbumW+EAHCLkYFpfdNLKXLSzLoRrYhDt7ZtgZ9kG0hdYtdgJtajqNoKg1WHBZK&#10;bOinpPya/RkFl9/Dttskad/dTZqcEjpmXxtWavDRf89BeOr9f/jVXmsF4wk8v4QfIJ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6p3OXDAAAA2w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amrcQAAADbAAAADwAAAGRycy9kb3ducmV2LnhtbESPzWrDMBCE74W8g9hAb42c4MapazkU&#10;Q6G30iSHHBdra5taK2PJ8c/TV4VCjsPMfMNkx8m04ka9aywr2G4iEMSl1Q1XCi7n96cDCOeRNbaW&#10;ScFMDo756iHDVNuRv+h28pUIEHYpKqi971IpXVmTQbexHXHwvm1v0AfZV1L3OAa4aeUuivbSYMNh&#10;ocaOiprKn9NgFBTz87Dl5CVul+vi7NU1n8lQKPW4nt5eQXia/D383/7QCnYx/H0JP0Dm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tqatxAAAANsAAAAPAAAAAAAAAAAA&#10;AAAAAKECAABkcnMvZG93bnJldi54bWxQSwUGAAAAAAQABAD5AAAAkgMAAAAA&#10;" strokecolor="#53529f" strokeweight="3.6pt"/>
                <w10:wrap xmlns:w10="urn:schemas-microsoft-com:office:word" anchorx="page" anchory="page"/>
              </v:group>
            </w:pict>
          </mc:Fallback>
        </mc:AlternateContent>
      </w:r>
      <w:r>
        <w:drawing>
          <wp:anchor distT="0" distB="0" distL="114300" distR="114300" simplePos="0" relativeHeight="2048" behindDoc="1" layoutInCell="1" allowOverlap="1" locked="0">
            <wp:simplePos x="0" y="0"/>
            <wp:positionH relativeFrom="page">
              <wp:posOffset>485775</wp:posOffset>
            </wp:positionH>
            <wp:positionV relativeFrom="page">
              <wp:posOffset>327660</wp:posOffset>
            </wp:positionV>
            <wp:extent cx="8985886" cy="464185"/>
            <wp:effectExtent l="0" t="0" r="6350" b="12065"/>
            <wp:wrapNone/>
            <wp:docPr id="12" name="Shape 1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2" w:name="_Toc1211367495"/>
                        <w:r>
                          <w:rPr>
                            <w:color w:val="53529F"/>
                          </w:rPr>
                          <w:t xml:space="preserve">Results</w:t>
                        </w:r>
                        <w:bookmarkEnd w:id="2"/>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4988" w:type="pct"/>
        <w:jc w:val="center"/>
        <w:tblCellMar>
          <w:left w:w="0" w:type="dxa"/>
          <w:right w:w="0" w:type="dxa"/>
        </w:tblCellMar>
        <w:tblLook w:firstRow="on" w:lastRow="on" w:firstColumn="on" w:lastColumn="on" w:noHBand="off" w:noVBand="off"/>
      </w:tblPr>
      <w:tblGrid>
        <w:gridCol w:w="7892"/>
        <w:gridCol w:w="6473"/>
      </w:tblGrid>
      <w:tr>
        <w:trPr>
          <w:jc w:val="center"/>
        </w:trPr>
        <w:tc>
          <w:tcPr>
            <w:tcW w:w="2747" w:type="pct"/>
            <w:shd w:val="clear" w:color="auto" w:fill="53529F"/>
            <w:vAlign w:val="center"/>
          </w:tcPr>
          <w:p>
            <w:pPr>
              <w:pStyle w:val="TableParagraph"/>
              <w:spacing w:before="120" w:after="120"/>
              <w:ind w:left="-2" w:firstLine="7"/>
              <w:jc w:val="center"/>
              <w:rPr>
                <w:rFonts w:ascii="Calibri" w:hAnsi="Calibri"/>
                <w:color w:val="FF0000"/>
                <w:sz w:val="24"/>
                <w:szCs w:val="24"/>
              </w:rPr>
            </w:pPr>
            <w:r>
              <w:rPr>
                <w:rFonts w:ascii="Calibri" w:hAnsi="Calibri"/>
                <w:b w:val="on"/>
                <w:color w:val="FFFFFF" w:themeColor="background1"/>
                <w:sz w:val="24"/>
                <w:szCs w:val="24"/>
              </w:rPr>
              <w:t xml:space="preserve">Overall Assurance</w:t>
            </w:r>
          </w:p>
        </w:tc>
        <w:tc>
          <w:tcPr>
            <w:tcW w:w="2253" w:type="pct"/>
            <w:shd w:val="clear" w:color="auto" w:fill="53529F"/>
            <w:vAlign w:val="center"/>
          </w:tcPr>
          <w:p>
            <w:pPr>
              <w:pStyle w:val="TableParagraph"/>
              <w:spacing w:before="120" w:after="120"/>
              <w:ind w:left="-2" w:right="169" w:firstLine="7"/>
              <w:jc w:val="center"/>
              <w:rPr>
                <w:rFonts w:ascii="Calibri" w:hAnsi="Calibri"/>
                <w:color w:val="FFFFFF" w:themeColor="background1"/>
                <w:sz w:val="24"/>
                <w:szCs w:val="24"/>
              </w:rPr>
            </w:pPr>
            <w:r>
              <w:rPr>
                <w:rFonts w:ascii="Calibri" w:hAnsi="Calibri"/>
                <w:b w:val="on"/>
                <w:color w:val="FFFFFF" w:themeColor="background1"/>
                <w:sz w:val="24"/>
                <w:szCs w:val="24"/>
              </w:rPr>
              <w:t xml:space="preserve">Conclusion/Rating</w:t>
            </w:r>
          </w:p>
        </w:tc>
      </w:tr>
      <w:tr>
        <w:trPr>
          <w:jc w:val="center"/>
        </w:trPr>
        <w:tc>
          <w:tcPr>
            <w:tcW w:w="2747" w:type="pct"/>
            <w:vAlign w:val="center"/>
          </w:tcPr>
          <w:p>
            <w:pPr>
              <w:pStyle w:val="TableParagraph"/>
              <w:spacing w:before="120" w:after="120"/>
              <w:ind w:left="-2" w:firstLine="7"/>
              <w:jc w:val="center"/>
              <w:rPr>
                <w:rFonts w:ascii="Calibri" w:hAnsi="Calibri"/>
                <w:b w:val="on"/>
                <w:color w:val="070F13" w:themeColor="text1"/>
                <w:sz w:val="24"/>
                <w:szCs w:val="24"/>
              </w:rPr>
            </w:pPr>
            <w:r>
              <w:rPr>
                <w:rFonts w:ascii="Calibri" w:hAnsi="Calibri"/>
                <w:color w:val="070F13" w:themeColor="text1"/>
                <w:sz w:val="24"/>
                <w:szCs w:val="24"/>
              </w:rPr>
              <w:t xml:space="preserve">17%</w:t>
            </w:r>
          </w:p>
        </w:tc>
        <w:tc>
          <w:tcPr>
            <w:tcW w:w="2253" w:type="pct"/>
            <w:vAlign w:val="center"/>
          </w:tcPr>
          <w:p>
            <w:pPr>
              <w:pStyle w:val="TableParagraph"/>
              <w:spacing w:before="120" w:after="120"/>
              <w:ind w:left="-2" w:right="169" w:firstLine="7"/>
              <w:jc w:val="center"/>
              <w:rPr>
                <w:rFonts w:ascii="Calibri" w:hAnsi="Calibri"/>
                <w:b w:val="on"/>
                <w:color w:val="070F13" w:themeColor="text1"/>
                <w:sz w:val="24"/>
                <w:szCs w:val="24"/>
              </w:rPr>
            </w:pPr>
            <w:r>
              <w:rPr>
                <w:rFonts w:ascii="Calibri" w:hAnsi="Calibri"/>
                <w:color w:val="070F13" w:themeColor="text1"/>
                <w:sz w:val="24"/>
                <w:szCs w:val="24"/>
              </w:rPr>
              <w:t xml:space="preserve">Needs Improvement</w:t>
            </w:r>
          </w:p>
        </w:tc>
      </w:tr>
    </w:tbl>
    <w:p>
      <w:pPr>
        <w:pStyle w:val="BodyText"/>
        <w:rPr>
          <w:rFonts w:ascii="Times"/>
          <w:b w:val="off"/>
        </w:rPr>
      </w:pPr>
    </w:p>
    <w:p>
      <w:pPr>
        <w:pStyle w:val="BodyText"/>
        <w:rPr>
          <w:rFonts w:ascii="Times"/>
          <w:b w:val="off"/>
        </w:rPr>
      </w:pPr>
      <w:r>
        <w:drawing>
          <wp:anchor distT="0" distB="0" distL="114300" distR="114300" simplePos="0" relativeHeight="8192" behindDoc="0" layoutInCell="1" allowOverlap="1" locked="0">
            <wp:simplePos x="0" y="0"/>
            <wp:positionH relativeFrom="column">
              <wp:posOffset>4528820</wp:posOffset>
            </wp:positionH>
            <wp:positionV relativeFrom="paragraph">
              <wp:posOffset>130175</wp:posOffset>
            </wp:positionV>
            <wp:extent cx="4591685" cy="295910"/>
            <wp:effectExtent l="0" t="0" r="0" b="0"/>
            <wp:wrapNone/>
            <wp:docPr id="13" name="Shape 13"/>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91685" cy="1403985"/>
                    </a:xfrm>
                    <a:prstGeom xmlns:a="http://schemas.openxmlformats.org/drawingml/2006/main" prst="rect">
                      <a:avLst/>
                    </a:prstGeom>
                    <a:noFill xmlns:a="http://schemas.openxmlformats.org/drawingml/2006/main"/>
                    <a:ln xmlns:a="http://schemas.openxmlformats.org/drawingml/2006/main" w="9525">
                      <a:noFill/>
                      <a:miter lim="800000"/>
                      <a:headEnd/>
                      <a:tailEnd/>
                    </a:ln>
                  </wps:spPr>
                  <wps:txbx>
                    <w:txbxContent>
                      <w:p>
                        <w:pPr>
                          <w:rPr>
                            <w:b w:val="on"/>
                          </w:rPr>
                        </w:pPr>
                        <w:r>
                          <w:rPr>
                            <w:rFonts w:asciiTheme="minorHAnsi" w:hAnsiTheme="minorHAnsi"/>
                            <w:b w:val="on"/>
                            <w:color w:val="4A478A"/>
                            <w:sz w:val="24"/>
                            <w:szCs w:val="24"/>
                          </w:rPr>
                          <w:t xml:space="preserve">Issue by Owner</w:t>
                        </w:r>
                      </w:p>
                    </w:txbxContent>
                  </wps:txbx>
                  <w10:wrap anchorx="text" anchory="text"/>
                  <wps:bodyPr xmlns:wps="http://schemas.microsoft.com/office/word/2010/wordprocessingShape" rot="0" vert="horz" wrap="square" lIns="91440" tIns="45720" rIns="91440" bIns="45720" anchor="t" anchorCtr="0">
                    <a:spAutoFit xmlns:a="http://schemas.openxmlformats.org/drawingml/2006/main"/>
                  </wps:bodyPr>
                </wps:wsp>
              </a:graphicData>
            </a:graphic>
          </wp:anchor>
        </w:drawing>
      </w:r>
      <w:r>
        <w:drawing>
          <wp:anchor distT="0" distB="0" distL="114300" distR="114300" simplePos="0" relativeHeight="7168" behindDoc="0" layoutInCell="1" allowOverlap="1" locked="0">
            <wp:simplePos x="0" y="0"/>
            <wp:positionH relativeFrom="column">
              <wp:posOffset>0</wp:posOffset>
            </wp:positionH>
            <wp:positionV relativeFrom="paragraph">
              <wp:posOffset>139065</wp:posOffset>
            </wp:positionV>
            <wp:extent cx="4526280" cy="295910"/>
            <wp:effectExtent l="0" t="0" r="7620" b="0"/>
            <wp:wrapNone/>
            <wp:docPr id="14" name="Shape 14"/>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26280" cy="1403985"/>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wps:spPr>
                  <wps:txbx>
                    <w:txbxContent>
                      <w:p>
                        <w:pPr>
                          <w:rPr>
                            <w:rFonts w:asciiTheme="minorHAnsi" w:hAnsiTheme="minorHAnsi"/>
                            <w:b w:val="on"/>
                          </w:rPr>
                        </w:pPr>
                        <w:r>
                          <w:rPr>
                            <w:rFonts w:asciiTheme="minorHAnsi" w:hAnsiTheme="minorHAnsi"/>
                            <w:b w:val="on"/>
                            <w:color w:val="4A478A"/>
                            <w:sz w:val="24"/>
                            <w:szCs w:val="24"/>
                          </w:rPr>
                          <w:t xml:space="preserve">Issue by Severity</w:t>
                        </w:r>
                      </w:p>
                    </w:txbxContent>
                  </wps:txbx>
                  <w10:wrap anchorx="text" anchory="text"/>
                  <wps:bodyPr xmlns:wps="http://schemas.microsoft.com/office/word/2010/wordprocessingShape" rot="0" vert="horz" wrap="square" lIns="91440" tIns="45720" rIns="91440" bIns="45720" anchor="ctr" anchorCtr="0" upright="1">
                    <a:sp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rPr>
      </w:pP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711488" behindDoc="0" locked="0" layoutInCell="1" allowOverlap="1" wp14:anchorId="2FA2BAB8" wp14:editId="755347A4">
            <wp:simplePos x="0" y="0"/>
            <wp:positionH relativeFrom="column">
              <wp:posOffset>0</wp:posOffset>
            </wp:positionH>
            <wp:positionV relativeFrom="paragraph">
              <wp:posOffset>149225</wp:posOffset>
            </wp:positionV>
            <wp:extent cx="4528820" cy="2415540"/>
            <wp:effectExtent l="0" t="0" r="5080" b="3810"/>
            <wp:wrapNone/>
            <wp:docPr id="15"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anchor>
        </w:drawing>
      </w: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698176" behindDoc="1" locked="0" layoutInCell="1" allowOverlap="1" wp14:anchorId="0881F927" wp14:editId="55E3F005">
            <wp:simplePos x="0" y="0"/>
            <wp:positionH relativeFrom="column">
              <wp:posOffset>4528820</wp:posOffset>
            </wp:positionH>
            <wp:positionV relativeFrom="paragraph">
              <wp:posOffset>149225</wp:posOffset>
            </wp:positionV>
            <wp:extent cx="4589145" cy="2415540"/>
            <wp:effectExtent l="0" t="0" r="1905" b="3810"/>
            <wp:wrapThrough wrapText="bothSides">
              <wp:wrapPolygon edited="0">
                <wp:start x="90" y="0"/>
                <wp:lineTo x="0" y="511"/>
                <wp:lineTo x="0" y="21123"/>
                <wp:lineTo x="90" y="21464"/>
                <wp:lineTo x="21430" y="21464"/>
                <wp:lineTo x="21519" y="21123"/>
                <wp:lineTo x="21519" y="511"/>
                <wp:lineTo x="21430" y="0"/>
                <wp:lineTo x="90" y="0"/>
              </wp:wrapPolygon>
            </wp:wrapThrough>
            <wp:docPr id="16"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page">
              <wp14:pctWidth>0</wp14:pctWidth>
            </wp14:sizeRelH>
            <wp14:sizeRelV relativeFrom="page">
              <wp14:pctHeight>0</wp14:pctHeight>
            </wp14:sizeRelV>
          </wp:anchor>
        </w:drawing>
      </w: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Conclusion/Rating Description</w:t>
            </w:r>
          </w:p>
        </w:tc>
      </w:tr>
    </w:tbl>
    <w:p>
      <w:pPr>
        <w:rPr>
          <w:rFonts w:ascii="Calibri" w:hAnsi="Calibri"/>
          <w:color w:val="070F13" w:themeColor="text1"/>
          <w:sz w:val="24"/>
          <w:szCs w:val="24"/>
        </w:rPr>
      </w:pPr>
    </w:p>
    <w:p>
      <w:pPr>
        <w:rPr>
          <w:rFonts w:ascii="Times"/>
          <w:b w:val="on"/>
        </w:rPr>
        <w:sectPr>
          <w:headerReference w:type="default" r:id="rId21"/>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Based on the work done, we conclude that the controls  in north rift region NEEDS IMPROVEMENT. We observed a number of findings that requires management action</w:t>
      </w:r>
    </w:p>
    <w:p>
      <w:pPr>
        <w:rPr>
          <w:rFonts w:ascii="Times"/>
          <w:bCs/>
          <w:sz w:val="20"/>
          <w:szCs w:val="20"/>
        </w:rPr>
      </w:pPr>
    </w:p>
    <w:p>
      <w:pPr>
        <w:rPr>
          <w:rFonts w:ascii="Times"/>
          <w:bCs/>
          <w:sz w:val="20"/>
          <w:szCs w:val="20"/>
        </w:rPr>
      </w:pPr>
    </w:p>
    <w:p>
      <w:pPr>
        <w:pStyle w:val="BodyText"/>
        <w:rPr>
          <w:rFonts w:ascii="Times"/>
          <w:b w:val="off"/>
        </w:rPr>
      </w:pPr>
      <w:r>
        <mc:AlternateContent>
          <mc:Choice Requires="wpg">
            <w:drawing>
              <wp:anchor distT="0" distB="0" distL="114300" distR="114300" simplePos="0" relativeHeight="13312"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7" name="Group 17"/>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9"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0"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F897CB0" id="Group 28" o:spid="_x0000_s1026" style="position:absolute;margin-left:36pt;margin-top:20.95pt;width:718.05pt;height:45.25pt;z-index:251706368;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HrD8IAAADbAAAADwAAAGRycy9kb3ducmV2LnhtbESPT4vCMBTE74LfITxhb5rqYVmrUZal&#10;BW9i/Xt8NM+22ryUJmvrt98sCB6HmfkNs1z3phYPal1lWcF0EoEgzq2uuFBw2KfjLxDOI2usLZOC&#10;JzlYr4aDJcbadryjR+YLESDsYlRQet/EUrq8JINuYhvi4F1ta9AH2RZSt9gFuKnlLIo+pcGKw0KJ&#10;Df2UlN+zX6Pgdjruum2S9t3TpMkloXM237JSH6P+ewHCU+/f4Vd7oxXM5vD/JfwAufo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0HrD8IAAADbAAAADwAAAAAAAAAAAAAA&#10;AAChAgAAZHJzL2Rvd25yZXYueG1sUEsFBgAAAAAEAAQA+QAAAJADA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1Q2c8EAAADbAAAADwAAAGRycy9kb3ducmV2LnhtbERPy2rCQBTdC/2H4QrdmYm11TZmDBIo&#10;dFeqLlxeMtckmLkTMpOXX99ZFLo8nHeaTaYRA3WutqxgHcUgiAuray4VXM6fq3cQziNrbCyTgpkc&#10;ZIenRYqJtiP/0HDypQgh7BJUUHnfJlK6oiKDLrItceButjPoA+xKqTscQ7hp5Escb6XBmkNDhS3l&#10;FRX3U28U5PNbv+bdx2vzuD6cvbr6e9fnSj0vp+MehKfJ/4v/3F9awSasD1/CD5CH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VDZzwQAAANsAAAAPAAAAAAAAAAAAAAAA&#10;AKECAABkcnMvZG93bnJldi54bWxQSwUGAAAAAAQABAD5AAAAjwMAAAAA&#10;" strokecolor="#53529f" strokeweight="3.6pt"/>
                <w10:wrap xmlns:w10="urn:schemas-microsoft-com:office:word" anchorx="page" anchory="page"/>
              </v:group>
            </w:pict>
          </mc:Fallback>
        </mc:AlternateContent>
      </w:r>
      <w:r>
        <w:drawing>
          <wp:anchor distT="0" distB="0" distL="114300" distR="114300" simplePos="0" relativeHeight="4096" behindDoc="1" layoutInCell="1" allowOverlap="1" locked="0">
            <wp:simplePos x="0" y="0"/>
            <wp:positionH relativeFrom="page">
              <wp:posOffset>485775</wp:posOffset>
            </wp:positionH>
            <wp:positionV relativeFrom="page">
              <wp:posOffset>327660</wp:posOffset>
            </wp:positionV>
            <wp:extent cx="9050656" cy="464185"/>
            <wp:effectExtent l="0" t="0" r="17780" b="12065"/>
            <wp:wrapNone/>
            <wp:docPr id="18" name="Shape 18"/>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0504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3" w:name="_Toc1093982525"/>
                        <w:r>
                          <w:rPr>
                            <w:color w:val="53529F"/>
                          </w:rPr>
                          <w:t xml:space="preserve">Results Summary</w:t>
                        </w:r>
                        <w:bookmarkEnd w:id="3"/>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tabs>
          <w:tab w:val="left" w:leader="none" w:pos="2496"/>
        </w:tabs>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tbl>
      <w:tblPr>
        <w:tblW w:w="5000"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firstRow="on" w:lastRow="on" w:firstColumn="on" w:lastColumn="on" w:noHBand="off" w:noVBand="off"/>
      </w:tblPr>
      <w:tblGrid>
        <w:gridCol w:w="4501"/>
        <w:gridCol w:w="2863"/>
        <w:gridCol w:w="1407"/>
        <w:gridCol w:w="1407"/>
        <w:gridCol w:w="1407"/>
        <w:gridCol w:w="1407"/>
        <w:gridCol w:w="1408"/>
      </w:tblGrid>
      <w:tr>
        <w:trPr>
          <w:tblHeader w:val="on"/>
          <w:jc w:val="center"/>
        </w:trPr>
        <w:tc>
          <w:tcPr>
            <w:tcW w:w="4501"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Objective</w:t>
            </w:r>
          </w:p>
        </w:tc>
        <w:tc>
          <w:tcPr>
            <w:tcW w:w="2863"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Assurance</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Passed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Failed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Not tested</w:t>
            </w:r>
          </w:p>
        </w:tc>
        <w:tc>
          <w:tcPr>
            <w:tcW w:w="1408"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asset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controls around procurement processs</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of receivables and payables</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100%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of controls around income and expenditure</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Accountabilty over power of humanity walk money</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shd w:val="clear" w:color="auto" w:fill="D7D7D7"/>
            <w:vAlign w:val="center"/>
          </w:tcPr>
          <w:p>
            <w:pPr>
              <w:pStyle w:val="BodyText"/>
              <w:spacing w:before="120" w:after="120"/>
              <w:ind w:left="113"/>
              <w:rPr>
                <w:color w:val="070F13" w:themeColor="text1"/>
                <w:sz w:val="24"/>
                <w:szCs w:val="24"/>
              </w:rPr>
            </w:pPr>
            <w:r>
              <w:rPr>
                <w:rFonts w:asciiTheme="minorHAnsi" w:hAnsiTheme="minorHAnsi"/>
                <w:color w:val="070F13" w:themeColor="text1"/>
                <w:sz w:val="24"/>
                <w:szCs w:val="24"/>
              </w:rPr>
              <w:t xml:space="preserve">TOTAL</w:t>
            </w:r>
          </w:p>
        </w:tc>
        <w:tc>
          <w:tcPr>
            <w:tcW w:w="2863" w:type="dxa"/>
            <w:shd w:val="clear" w:color="auto" w:fill="D7D7D7"/>
            <w:vAlign w:val="center"/>
          </w:tcPr>
          <w:p>
            <w:pPr>
              <w:pStyle w:val="BodyText"/>
              <w:spacing w:before="120" w:after="120"/>
              <w:ind w:left="113"/>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1</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4</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0</w:t>
            </w:r>
          </w:p>
        </w:tc>
        <w:tc>
          <w:tcPr>
            <w:tcW w:w="1408"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4</w:t>
            </w:r>
          </w:p>
        </w:tc>
      </w:tr>
    </w:tbl>
    <w:p>
      <w:pPr>
        <w:tabs>
          <w:tab w:val="left" w:leader="none" w:pos="2496"/>
        </w:tabs>
        <w:rPr/>
        <w:sectPr>
          <w:type w:val="nextPage"/>
          <w:pgSz w:w="15840" w:h="12240" w:orient="landscape"/>
          <w:pgMar w:top="720" w:right="720" w:bottom="720" w:left="720" w:header="397" w:footer="397" w:gutter="0"/>
          <w:cols w:space="720"/>
          <w:textDirection w:val="lrTb"/>
          <w:bidi w:val="off"/>
        </w:sectPr>
      </w:pPr>
      <w:r>
        <w:rPr/>
        <w:t xml:space="preserve">  </w:t>
      </w:r>
    </w:p>
    <w:p>
      <w:pPr>
        <w:pStyle w:val="BodyText"/>
        <w:rPr>
          <w:rFonts w:ascii="Times"/>
          <w:b w:val="off"/>
        </w:rPr>
      </w:pPr>
      <w:r>
        <mc:AlternateContent>
          <mc:Choice Requires="wpg">
            <w:drawing>
              <wp:anchor distT="0" distB="0" distL="114300" distR="114300" simplePos="0" relativeHeight="14336" behindDoc="0" layoutInCell="1" allowOverlap="1" locked="0">
                <wp:simplePos x="0" y="0"/>
                <wp:positionH relativeFrom="page">
                  <wp:posOffset>457200</wp:posOffset>
                </wp:positionH>
                <wp:positionV relativeFrom="page">
                  <wp:posOffset>266700</wp:posOffset>
                </wp:positionV>
                <wp:extent cx="9119870" cy="574675"/>
                <wp:effectExtent l="0" t="0" r="5715" b="15875"/>
                <wp:wrapNone/>
                <wp:docPr id="19" name="Group 19"/>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3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E862462" id="Group 33" o:spid="_x0000_s1026" style="position:absolute;margin-left:36pt;margin-top:21pt;width:718.1pt;height:45.25pt;z-index:251708416;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k91zAIAAFs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nSTMQAAADbAAAADwAAAGRycy9kb3ducmV2LnhtbESPQWvCQBSE7wX/w/IEb3VjLcWmboKU&#10;BLyJaa0eH9nXJJp9G7Krif++Wyj0OMzMN8w6HU0rbtS7xrKCxTwCQVxa3XCl4PMjf1yBcB5ZY2uZ&#10;FNzJQZpMHtYYazvwnm6Fr0SAsItRQe19F0vpypoMurntiIP3bXuDPsi+krrHIcBNK5+i6EUabDgs&#10;1NjRe03lpbgaBeevw37YZfk43E2enTI6Fq87Vmo2HTdvIDyN/j/8195qBctn+P0SfoBM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mdJMxAAAANsAAAAPAAAAAAAAAAAA&#10;AAAAAKECAABkcnMvZG93bnJldi54bWxQSwUGAAAAAAQABAD5AAAAkgM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OV68QAAADbAAAADwAAAGRycy9kb3ducmV2LnhtbESPT2vCQBTE7wW/w/KE3upGWxuNrlIC&#10;BW/S2IPHR/aZBLNvQ3bzRz+9WxB6HGbmN8x2P5pa9NS6yrKC+SwCQZxbXXGh4Pf0/bYC4Tyyxtoy&#10;KbiRg/1u8rLFRNuBf6jPfCEChF2CCkrvm0RKl5dk0M1sQxy8i20N+iDbQuoWhwA3tVxE0ac0WHFY&#10;KLGhtKT8mnVGQXpbdnOO1x/1/Xx39uyqY9ylSr1Ox68NCE+j/w8/2wet4H0Jf1/CD5C7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I5XrxAAAANsAAAAPAAAAAAAAAAAA&#10;AAAAAKECAABkcnMvZG93bnJldi54bWxQSwUGAAAAAAQABAD5AAAAkgM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r>
        <w:drawing>
          <wp:anchor distT="0" distB="0" distL="114300" distR="114300" simplePos="0" relativeHeight="3072" behindDoc="1" layoutInCell="1" allowOverlap="1" locked="0">
            <wp:simplePos x="0" y="0"/>
            <wp:positionH relativeFrom="page">
              <wp:posOffset>485775</wp:posOffset>
            </wp:positionH>
            <wp:positionV relativeFrom="page">
              <wp:posOffset>327660</wp:posOffset>
            </wp:positionV>
            <wp:extent cx="4708525" cy="464185"/>
            <wp:effectExtent l="0" t="0" r="15875" b="12065"/>
            <wp:wrapNone/>
            <wp:docPr id="20" name="Shape 20"/>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7088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4" w:name="_Toc1472851368"/>
                        <w:r>
                          <w:rPr>
                            <w:color w:val="53529F"/>
                          </w:rPr>
                          <w:t xml:space="preserve">Summary of Issues</w:t>
                        </w:r>
                        <w:bookmarkEnd w:id="4"/>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tbl>
      <w:tblPr>
        <w:tblW w:w="4923"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Look w:firstRow="off" w:lastRow="off" w:firstColumn="off" w:lastColumn="off" w:noHBand="off" w:noVBand="off"/>
      </w:tblPr>
      <w:tblGrid>
        <w:gridCol w:w="1891"/>
        <w:gridCol w:w="4951"/>
        <w:gridCol w:w="2614"/>
        <w:gridCol w:w="2337"/>
        <w:gridCol w:w="2385"/>
      </w:tblGrid>
      <w:tr>
        <w:trPr>
          <w:cantSplit w:val="on"/>
          <w:tblHeader w:val="on"/>
          <w:jc w:val="center"/>
        </w:trPr>
        <w:tc>
          <w:tcPr>
            <w:tcW w:w="667"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 ID</w:t>
            </w:r>
          </w:p>
        </w:tc>
        <w:tc>
          <w:tcPr>
            <w:tcW w:w="1746"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Title/Headline</w:t>
            </w:r>
          </w:p>
        </w:tc>
        <w:tc>
          <w:tcPr>
            <w:tcW w:w="922"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824"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Severity</w:t>
            </w:r>
          </w:p>
        </w:tc>
        <w:tc>
          <w:tcPr>
            <w:tcW w:w="841"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Remediation Deadline</w:t>
            </w: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F1</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Non standardization of  Power of Humanity Walk </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HOR/RFO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F2</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Weak controls around Income and Expenditure</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HOR/RFO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F3</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Gaps in  Procurement </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RSCMO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F4</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Gaps in asset management</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County Coordinators </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F5</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Gaps in IGA planning in Bungoma</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County Coordinator</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F6</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Volunteers playing key roles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HOR</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bl>
    <w:p>
      <w:pPr>
        <w:rPr>
          <w:b w:val="on"/>
          <w:bCs/>
        </w:rPr>
        <w:sectPr>
          <w:headerReference w:type="default" r:id="rId22"/>
          <w:type w:val="nextPage"/>
          <w:pgSz w:w="15840" w:h="12240" w:orient="landscape"/>
          <w:pgMar w:top="720" w:right="720" w:bottom="720" w:left="720" w:header="397" w:footer="397" w:gutter="0"/>
          <w:cols w:space="720"/>
          <w:textDirection w:val="lrTb"/>
          <w:bidi w:val="off"/>
        </w:sectPr>
      </w:pPr>
    </w:p>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5" w:name="_Toc1176797106"/>
            <w:r>
              <w:rPr/>
              <w:t xml:space="preserve"> F1 Non standardization of  Power of Humanity Walk </w:t>
            </w:r>
            <w:bookmarkEnd w:id="5"/>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Accountabilty over power of humanity walk money</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HOR/RFO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July  3,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Power of Humanity Walk is one of the major fund raising activities in 5 of the 7 branches in North Rift region .  We observed good  practices when conducting walks including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Approval obtained from the Ministry of Education and the respective schools.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Patrons meeting held before the issuance of donation forms to bring a common understanding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Donation/proforma forms are pre-numbered/ Serialised  for tracking purposes.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 excel tracker is maintained for all donation forms issued to schools.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All forms and collected funds are submitted with an official acknowledgment from the school confirming the amount received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branches issue a receipt, bank the money and post in the ERP per school to maintain an audit trail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In the year 2025, only W.Pokot branch had conducted its PHW as at May 2025. The other branches were in various levels of planning. The table below shows the income and expenditure for the year 2024 save for W.pokot which is 2025</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bl>
            <w:tblPr>
              <w:tblW w:w="944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1871"/>
              <w:gridCol w:w="1944"/>
              <w:gridCol w:w="1278"/>
              <w:gridCol w:w="1823"/>
              <w:gridCol w:w="2524"/>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Branch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PHW Income 2024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Expenses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Surplus/Deficit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of Expenses over income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Uasin Gishu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2,612,026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577,892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2,034,134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22%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Nandi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869182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548910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320,272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63%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Elgeyo Marakwet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125825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134000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-8,175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106%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Trans Nzoia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328081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195721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132,360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West Pokot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1171941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1,171,941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 however observed the following gaps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Non management of expenses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Except for Uasin Gishu branch, which maintained a reasonable expense level at 22%, the other branches showed weak expenditure management. Elgeyo Marakwet branch, in particular, incurred losses, highlighting critical financial control issues.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Lack of end to end tracker from issuance of donation forms to funds collected</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Except for the West Pokot branch, which developed a comprehensive Excel tracker, other branches maintained only a simple register of forms issued to each school. The West Pokot tracker captured detailed information, including the number and serial numbers of forms issued, forms returned per school, and the amounts of cash collected and banked.</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 Gaps in booking in the system.</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Best practice dictates that income should be recorded individually for each receipt issued. Consolidating multiple receipts into a single entry is not acceptable, as it undermines accuracy, traceability, and accountability in financial reporting.</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 however noted that some branches despite of receipting income per school, had consolidated a number of receipts and recorded them as one. This is in respect to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Trans Nzoia branch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Elgeiyo Marakwet branch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West Pokot branch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Inadequate guidance and supervision by the regional office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Revenue leakage/loss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 recommend that the regional office issues  guidance on management of expenses including sponsorship by partners as well the general management of walk for uniformity across branches as well as improve the general control environment</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6" w:name="_Toc2094179927"/>
            <w:r>
              <w:rPr/>
              <w:t xml:space="preserve"> F2 Weak controls around Income and Expenditure</w:t>
            </w:r>
            <w:bookmarkEnd w:id="6"/>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of controls around income and expenditure</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HOR/RFO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July  3,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 observed a number of good in North Rift region around income and expenditure as below </w:t>
            </w:r>
          </w:p>
          <w:p>
            <w:pPr>
              <w:pStyle w:val="BodyText"/>
              <w:numPr>
                <w:ilvl w:val="0"/>
                <w:numId w:val="14"/>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Branches in the North Rift region do not handle cash receipts. Instead, they receive money through the  bank paybill or their respective branch-specific pay bill numbers and cheques/direct credit </w:t>
            </w:r>
          </w:p>
          <w:p>
            <w:pPr>
              <w:pStyle w:val="BodyText"/>
              <w:numPr>
                <w:ilvl w:val="0"/>
                <w:numId w:val="14"/>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 cash payments. All payments are made through either cheque or mpesa </w:t>
            </w:r>
          </w:p>
          <w:p>
            <w:pPr>
              <w:pStyle w:val="BodyText"/>
              <w:numPr>
                <w:ilvl w:val="0"/>
                <w:numId w:val="14"/>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Receipt books are issued from the region and head office for general and memberships respectively. </w:t>
            </w:r>
          </w:p>
          <w:p>
            <w:pPr>
              <w:pStyle w:val="BodyText"/>
              <w:numPr>
                <w:ilvl w:val="0"/>
                <w:numId w:val="14"/>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Contracts are properly reviewed and executed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 however noted the following gaps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Failure to make adequate surplus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National Executive Committee directed that for all unrestricted funds, the society should retain 25% of the surplus for development purposes. Only west Pokot branch had made adequate surpluses to be able to retain 25% as tabulated below </w:t>
            </w:r>
          </w:p>
          <w:tbl>
            <w:tblPr>
              <w:tblW w:w="1322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1863"/>
              <w:gridCol w:w="1657"/>
              <w:gridCol w:w="1370"/>
              <w:gridCol w:w="2360"/>
              <w:gridCol w:w="1438"/>
              <w:gridCol w:w="1551"/>
              <w:gridCol w:w="1543"/>
              <w:gridCol w:w="1438"/>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Uasin Gishu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Nandi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Elgeyo Marakwet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Bungoma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Trans Nzoia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West Pokot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Turkana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Income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1,513,664 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115,295 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58,500 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2,667,390 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1,976,970 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1,503,293 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3,688,955 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Expenses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1,758,949 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188,180 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94,384 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2,560,155 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1,767,785 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404,799 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3,141,215 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Surplus/Deficit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245,285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72,885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35,884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107,235 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209,185 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1,098,494 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547,740 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73%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Based on performance of PHW for 2024, Uasin Gishu and Nandi branches may also be able to make adequate surpluses after their PHW for 2025</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Delays in booking income in the ERP</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legally recognized proof of a transaction, which is essential for income recognition under accounting standards are source documents such as receipt.  We observed a one month delay in booking of income in the system suggesting that income is booked using bank statements. This is in regards to  </w:t>
            </w:r>
          </w:p>
          <w:p>
            <w:pPr>
              <w:pStyle w:val="BodyText"/>
              <w:numPr>
                <w:ilvl w:val="0"/>
                <w:numId w:val="14"/>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Uasin Gishu Branch </w:t>
            </w:r>
          </w:p>
          <w:p>
            <w:pPr>
              <w:pStyle w:val="BodyText"/>
              <w:numPr>
                <w:ilvl w:val="0"/>
                <w:numId w:val="14"/>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Nandi Branch </w:t>
            </w:r>
          </w:p>
          <w:p>
            <w:pPr>
              <w:pStyle w:val="BodyText"/>
              <w:numPr>
                <w:ilvl w:val="0"/>
                <w:numId w:val="14"/>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Elgeiyo Marakwet </w:t>
            </w:r>
          </w:p>
          <w:p>
            <w:pPr>
              <w:pStyle w:val="BodyText"/>
              <w:numPr>
                <w:ilvl w:val="0"/>
                <w:numId w:val="14"/>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Bungoma Branch </w:t>
            </w:r>
          </w:p>
          <w:p>
            <w:pPr>
              <w:pStyle w:val="BodyText"/>
              <w:numPr>
                <w:ilvl w:val="0"/>
                <w:numId w:val="14"/>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Trans Nzoia Branch </w:t>
            </w:r>
          </w:p>
          <w:p>
            <w:pPr>
              <w:pStyle w:val="BodyText"/>
              <w:numPr>
                <w:ilvl w:val="0"/>
                <w:numId w:val="14"/>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West Pokot Branch </w:t>
            </w:r>
          </w:p>
          <w:p>
            <w:pPr>
              <w:pStyle w:val="BodyText"/>
              <w:numPr>
                <w:ilvl w:val="0"/>
                <w:numId w:val="14"/>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Turkana Branch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  Unrecorded Income in Turkana</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Best practice dictates that all income received by an entity be promptly and accurately recorded in the accounting system. Regular reconciliation of M-Pesa statements is critical to ensuring completeness of revenue recognition.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From the sampled receipts, we noted that a number of income collected via M-Pesa was not recorded in the ERP in Turkana branch. The unrecorded income relates to transactions supported by official receipts issued to various customers for services rendered, including attachment fees and First Aid training, between January and May 2025 which was paid via as tabulated below </w:t>
            </w:r>
          </w:p>
          <w:tbl>
            <w:tblPr>
              <w:tblW w:w="0" w:type="auto"/>
              <w:tblBorders>
                <w:top w:val="single" w:sz="6" w:color="000000"/>
                <w:left w:val="single" w:sz="6" w:color="000000"/>
                <w:bottom w:val="single" w:sz="6" w:color="000000"/>
                <w:right w:val="single" w:sz="6" w:color="000000"/>
                <w:insideH w:val="single" w:sz="6" w:color="000000"/>
                <w:insideV w:val="single" w:sz="6" w:color="000000"/>
              </w:tblBorders>
              <w:tblLayout w:type="fixed"/>
            </w:tblPr>
            <w:tblGrid>
              <w:gridCol w:w="1560"/>
              <w:gridCol w:w="881"/>
              <w:gridCol w:w="1379"/>
              <w:gridCol w:w="2204"/>
              <w:gridCol w:w="1468"/>
              <w:gridCol w:w="1125"/>
            </w:tblGrid>
            <w:tr>
              <w:trPr>
                <w:gridAfter w:val="1"/>
                <w:wAfter w:w="1125" w:type="dxa"/>
              </w:trPr>
              <w:tc>
                <w:tcPr>
                  <w:tcW w:w="0" w:type="auto"/>
                  <w:tcBorders>
                    <w:top w:val="single" w:sz="6" w:color="000000"/>
                    <w:left w:val="single" w:sz="6" w:color="000000"/>
                    <w:bottom w:val="single" w:sz="6" w:color="000000"/>
                    <w:right w:val="single" w:sz="6" w:color="000000"/>
                    <w:insideH w:val="single" w:sz="6" w:color="000000"/>
                    <w:insideV w:val="single" w:sz="6" w:color="000000"/>
                  </w:tcBorders>
                  <w:shd w:val="clear" w:color="FFFFFF" w:fill="E6E6E6"/>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Receipt No. </w:t>
                  </w:r>
                </w:p>
              </w:tc>
              <w:tc>
                <w:tcPr>
                  <w:tcW w:w="0" w:type="auto"/>
                  <w:tcBorders>
                    <w:top w:val="single" w:sz="6" w:color="000000"/>
                    <w:left w:val="single" w:sz="6" w:color="000000"/>
                    <w:bottom w:val="single" w:sz="6" w:color="000000"/>
                    <w:right w:val="single" w:sz="6" w:color="000000"/>
                    <w:insideH w:val="single" w:sz="6" w:color="000000"/>
                    <w:insideV w:val="single" w:sz="6" w:color="000000"/>
                  </w:tcBorders>
                  <w:shd w:val="clear" w:color="FFFFFF" w:fill="E6E6E6"/>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w:t>
                  </w:r>
                </w:p>
              </w:tc>
              <w:tc>
                <w:tcPr>
                  <w:tcW w:w="0" w:type="auto"/>
                  <w:tcBorders>
                    <w:top w:val="single" w:sz="6" w:color="000000"/>
                    <w:left w:val="single" w:sz="6" w:color="000000"/>
                    <w:bottom w:val="single" w:sz="6" w:color="000000"/>
                    <w:right w:val="single" w:sz="6" w:color="000000"/>
                    <w:insideH w:val="single" w:sz="6" w:color="000000"/>
                    <w:insideV w:val="single" w:sz="6" w:color="000000"/>
                  </w:tcBorders>
                  <w:shd w:val="clear" w:color="FFFFFF" w:fill="E6E6E6"/>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Customer </w:t>
                  </w:r>
                </w:p>
              </w:tc>
              <w:tc>
                <w:tcPr>
                  <w:tcW w:w="0" w:type="auto"/>
                  <w:tcBorders>
                    <w:top w:val="single" w:sz="6" w:color="000000"/>
                    <w:left w:val="single" w:sz="6" w:color="000000"/>
                    <w:bottom w:val="single" w:sz="6" w:color="000000"/>
                    <w:right w:val="single" w:sz="6" w:color="000000"/>
                    <w:insideH w:val="single" w:sz="6" w:color="000000"/>
                    <w:insideV w:val="single" w:sz="6" w:color="000000"/>
                  </w:tcBorders>
                  <w:shd w:val="clear" w:color="FFFFFF" w:fill="E6E6E6"/>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Amount (KES) </w:t>
                  </w:r>
                </w:p>
              </w:tc>
              <w:tc>
                <w:tcPr>
                  <w:tcW w:w="0" w:type="auto"/>
                  <w:tcBorders>
                    <w:top w:val="single" w:sz="6" w:color="000000"/>
                    <w:left w:val="single" w:sz="6" w:color="000000"/>
                    <w:bottom w:val="single" w:sz="6" w:color="000000"/>
                    <w:right w:val="single" w:sz="6" w:color="000000"/>
                    <w:insideH w:val="single" w:sz="6" w:color="000000"/>
                    <w:insideV w:val="single" w:sz="6" w:color="000000"/>
                  </w:tcBorders>
                  <w:shd w:val="clear" w:color="FFFFFF" w:fill="E6E6E6"/>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Particulars </w:t>
                  </w:r>
                </w:p>
              </w:tc>
            </w:tr>
            <w:tr>
              <w:trPr/>
              <w:tc>
                <w:tcPr>
                  <w:tcW w:w="2441" w:type="dxa"/>
                  <w:gridSpan w:val="2"/>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2091 </w:t>
                  </w:r>
                </w:p>
              </w:tc>
              <w:tc>
                <w:tcPr>
                  <w:tcW w:w="1379"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21.1.2025 </w:t>
                  </w:r>
                </w:p>
              </w:tc>
              <w:tc>
                <w:tcPr>
                  <w:tcW w:w="2204"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Immaculate Lodea </w:t>
                  </w:r>
                </w:p>
              </w:tc>
              <w:tc>
                <w:tcPr>
                  <w:tcW w:w="1468"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2,000.00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Attach</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ment fee </w:t>
                  </w:r>
                </w:p>
              </w:tc>
            </w:tr>
            <w:tr>
              <w:trPr/>
              <w:tc>
                <w:tcPr>
                  <w:tcW w:w="2441" w:type="dxa"/>
                  <w:gridSpan w:val="2"/>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5606 </w:t>
                  </w:r>
                </w:p>
              </w:tc>
              <w:tc>
                <w:tcPr>
                  <w:tcW w:w="1379"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1.4.2025 </w:t>
                  </w:r>
                </w:p>
              </w:tc>
              <w:tc>
                <w:tcPr>
                  <w:tcW w:w="2204"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Salome Ewoi </w:t>
                  </w:r>
                </w:p>
              </w:tc>
              <w:tc>
                <w:tcPr>
                  <w:tcW w:w="1468"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5,000.00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First Aid Training </w:t>
                  </w:r>
                </w:p>
              </w:tc>
            </w:tr>
            <w:tr>
              <w:trPr/>
              <w:tc>
                <w:tcPr>
                  <w:tcW w:w="2441" w:type="dxa"/>
                  <w:gridSpan w:val="2"/>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5607 </w:t>
                  </w:r>
                </w:p>
              </w:tc>
              <w:tc>
                <w:tcPr>
                  <w:tcW w:w="1379"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1.4.2025 </w:t>
                  </w:r>
                </w:p>
              </w:tc>
              <w:tc>
                <w:tcPr>
                  <w:tcW w:w="2204"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Dorcas Nachi </w:t>
                  </w:r>
                </w:p>
              </w:tc>
              <w:tc>
                <w:tcPr>
                  <w:tcW w:w="1468"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1,000.00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First Aid Training </w:t>
                  </w:r>
                </w:p>
              </w:tc>
            </w:tr>
            <w:tr>
              <w:trPr/>
              <w:tc>
                <w:tcPr>
                  <w:tcW w:w="2441" w:type="dxa"/>
                  <w:gridSpan w:val="2"/>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5621 </w:t>
                  </w:r>
                </w:p>
              </w:tc>
              <w:tc>
                <w:tcPr>
                  <w:tcW w:w="1379"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5.5.2025 </w:t>
                  </w:r>
                </w:p>
              </w:tc>
              <w:tc>
                <w:tcPr>
                  <w:tcW w:w="2204"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Sheilla Kavere </w:t>
                  </w:r>
                </w:p>
              </w:tc>
              <w:tc>
                <w:tcPr>
                  <w:tcW w:w="1468"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7,000.00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First Aid Training </w:t>
                  </w:r>
                </w:p>
              </w:tc>
            </w:tr>
            <w:tr>
              <w:trPr/>
              <w:tc>
                <w:tcPr>
                  <w:tcW w:w="2441" w:type="dxa"/>
                  <w:gridSpan w:val="2"/>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5622 </w:t>
                  </w:r>
                </w:p>
              </w:tc>
              <w:tc>
                <w:tcPr>
                  <w:tcW w:w="1379"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12.5.2025 </w:t>
                  </w:r>
                </w:p>
              </w:tc>
              <w:tc>
                <w:tcPr>
                  <w:tcW w:w="2204"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Etupat Gladys </w:t>
                  </w:r>
                </w:p>
              </w:tc>
              <w:tc>
                <w:tcPr>
                  <w:tcW w:w="1468"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2,000.00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Attachment fee </w:t>
                  </w:r>
                </w:p>
              </w:tc>
            </w:tr>
            <w:tr>
              <w:trPr/>
              <w:tc>
                <w:tcPr>
                  <w:tcW w:w="2441" w:type="dxa"/>
                  <w:gridSpan w:val="2"/>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5623 </w:t>
                  </w:r>
                </w:p>
              </w:tc>
              <w:tc>
                <w:tcPr>
                  <w:tcW w:w="1379"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23.4.2025 </w:t>
                  </w:r>
                </w:p>
              </w:tc>
              <w:tc>
                <w:tcPr>
                  <w:tcW w:w="2204"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Moses Lokamar </w:t>
                  </w:r>
                </w:p>
              </w:tc>
              <w:tc>
                <w:tcPr>
                  <w:tcW w:w="1468"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2,000.00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Attachment fee </w:t>
                  </w:r>
                </w:p>
              </w:tc>
            </w:tr>
            <w:tr>
              <w:trPr/>
              <w:tc>
                <w:tcPr>
                  <w:tcW w:w="2441" w:type="dxa"/>
                  <w:gridSpan w:val="2"/>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5624 </w:t>
                  </w:r>
                </w:p>
              </w:tc>
              <w:tc>
                <w:tcPr>
                  <w:tcW w:w="1379"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20.5.2025 </w:t>
                  </w:r>
                </w:p>
              </w:tc>
              <w:tc>
                <w:tcPr>
                  <w:tcW w:w="2204"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Simon Lotukon </w:t>
                  </w:r>
                </w:p>
              </w:tc>
              <w:tc>
                <w:tcPr>
                  <w:tcW w:w="1468"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2,000.00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Attachment fee </w:t>
                  </w:r>
                </w:p>
              </w:tc>
            </w:tr>
            <w:tr>
              <w:trPr/>
              <w:tc>
                <w:tcPr>
                  <w:tcW w:w="2441" w:type="dxa"/>
                  <w:gridSpan w:val="2"/>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5625 </w:t>
                  </w:r>
                </w:p>
              </w:tc>
              <w:tc>
                <w:tcPr>
                  <w:tcW w:w="1379"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c>
                <w:tcPr>
                  <w:tcW w:w="2204"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Maximillar Atabo </w:t>
                  </w:r>
                </w:p>
              </w:tc>
              <w:tc>
                <w:tcPr>
                  <w:tcW w:w="1468"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2,000.00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Attachment fee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 Cash basis of accounting in W.Pokot</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 accordance with the KRCS Finance Manual, the organization applies the accrual basis of accounting, whereby income is recognized when it is earned, and expenses are recognized when they are incurred.</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 our review of West pokot branch payments, we noted that they were using cash basis of accounting contrary to this provision. Examples include </w:t>
            </w:r>
          </w:p>
          <w:tbl>
            <w:tblPr>
              <w:tblW w:w="14184"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1621"/>
              <w:gridCol w:w="2288"/>
              <w:gridCol w:w="5186"/>
              <w:gridCol w:w="1362"/>
              <w:gridCol w:w="3727"/>
            </w:tblGrid>
            <w:tr>
              <w:trPr/>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Posting Date </w:t>
                  </w:r>
                </w:p>
              </w:tc>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Document No. </w:t>
                  </w:r>
                </w:p>
              </w:tc>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 </w:t>
                  </w:r>
                </w:p>
              </w:tc>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Amount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 A Remarks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21/02/2025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NRR/WP/PV25/007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Pay Lomut h.ware for suply of   mtrls drg 2024 cons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30,172.41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This is a 2024 expense paid in 2025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Failure to plan, execute or sustain viable IGAs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Insufficient staff skills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Inability to meet obligations as and when they fall due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Misstated financial statements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Non compliance to finance manual</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Come up with innovative ways to raise resources as well reduce expenditure</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Continuous capacity building of branch accountants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7" w:name="_Toc321185911"/>
            <w:r>
              <w:rPr/>
              <w:t xml:space="preserve"> F3 Gaps in  Procurement </w:t>
            </w:r>
            <w:bookmarkEnd w:id="7"/>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controls around procurement processs</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RSCMO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July  4,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For North Rift region we observed the following good practices in regards to procurement </w:t>
            </w:r>
          </w:p>
          <w:p>
            <w:pPr>
              <w:pStyle w:val="BodyText"/>
              <w:numPr>
                <w:ilvl w:val="0"/>
                <w:numId w:val="15"/>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There was a current list of prequalified suppliers done by tendersure available at the branches for their use </w:t>
            </w:r>
          </w:p>
          <w:p>
            <w:pPr>
              <w:pStyle w:val="BodyText"/>
              <w:numPr>
                <w:ilvl w:val="0"/>
                <w:numId w:val="15"/>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Use of navision for procurement including raising PR, LPO and GRNs </w:t>
            </w:r>
          </w:p>
          <w:p>
            <w:pPr>
              <w:pStyle w:val="BodyText"/>
              <w:numPr>
                <w:ilvl w:val="0"/>
                <w:numId w:val="15"/>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was general awareness of the KRCS procurement processes at the branches and the procurement manual was available for their use </w:t>
            </w:r>
          </w:p>
          <w:p>
            <w:pPr>
              <w:pStyle w:val="BodyText"/>
              <w:numPr>
                <w:ilvl w:val="0"/>
                <w:numId w:val="15"/>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There was segregation of duties for most branches(those with significance procurement transactions) having a procurement unit separate from the finance </w:t>
            </w:r>
          </w:p>
          <w:p>
            <w:pPr>
              <w:pStyle w:val="BodyText"/>
              <w:numPr>
                <w:ilvl w:val="0"/>
                <w:numId w:val="15"/>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Anti -terrorism and money laundry checks done during procurement process. </w:t>
            </w:r>
          </w:p>
          <w:p>
            <w:pPr>
              <w:pStyle w:val="BodyText"/>
              <w:numPr>
                <w:ilvl w:val="0"/>
                <w:numId w:val="15"/>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Email trail available on how quotes are requested and received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 however noted</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Gaps in procurement  for works in Bungoma</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Bungoma branch constructed a borehole and equipped it for irrigation in the greenhouse. We noted the following procurement gaps </w:t>
            </w:r>
          </w:p>
          <w:p>
            <w:pPr>
              <w:pStyle w:val="BodyText"/>
              <w:numPr>
                <w:ilvl w:val="0"/>
                <w:numId w:val="15"/>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Lack of technical evaluation due to use of request for quotation form as the bid documents and not the standard bid documents contrary to section 5.9.9 of the procurement manual. </w:t>
            </w:r>
          </w:p>
          <w:p>
            <w:pPr>
              <w:pStyle w:val="BodyText"/>
              <w:numPr>
                <w:ilvl w:val="0"/>
                <w:numId w:val="15"/>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The selected Bidder has failed prequalifiaction. </w:t>
            </w:r>
          </w:p>
          <w:p>
            <w:pPr>
              <w:pStyle w:val="BodyText"/>
              <w:numPr>
                <w:ilvl w:val="0"/>
                <w:numId w:val="15"/>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 contract was issued to spell the terms and condition of the works </w:t>
            </w:r>
          </w:p>
          <w:p>
            <w:pPr>
              <w:pStyle w:val="BodyText"/>
              <w:numPr>
                <w:ilvl w:val="0"/>
                <w:numId w:val="15"/>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Awarded by branch management tender committee and not branch tender committee contrary to table 2 on threshold matrix of the procurement manual </w:t>
            </w:r>
          </w:p>
          <w:p>
            <w:pPr>
              <w:pStyle w:val="BodyText"/>
              <w:numPr>
                <w:ilvl w:val="0"/>
                <w:numId w:val="15"/>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 certificate of completion after assessment by an engineer to confirm that works are done as per standard. The current elevated tank is collapsing barely six months after construction raising concerns on the quality of works  </w:t>
            </w:r>
          </w:p>
          <w:p>
            <w:pPr>
              <w:pStyle w:val="BodyText"/>
              <w:numPr>
                <w:ilvl w:val="0"/>
                <w:numId w:val="15"/>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Failure to retain 10% to ensure that defects are corrected after work is completed.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bl>
            <w:tblPr>
              <w:tblW w:w="14184"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1561"/>
              <w:gridCol w:w="1580"/>
              <w:gridCol w:w="3570"/>
              <w:gridCol w:w="1459"/>
              <w:gridCol w:w="3188"/>
              <w:gridCol w:w="2826"/>
            </w:tblGrid>
            <w:tr>
              <w:trPr/>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Posting Date </w:t>
                  </w:r>
                </w:p>
              </w:tc>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Document No. </w:t>
                  </w:r>
                </w:p>
              </w:tc>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 </w:t>
                  </w:r>
                </w:p>
              </w:tc>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Amount </w:t>
                  </w:r>
                </w:p>
              </w:tc>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Customer Name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I.A Comments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31/03/2025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07.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construction of borehole and water pump installation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216,188.00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Kalifonia Building Contractors and Supplies Ltd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1. No technical evaluations</w:t>
                  </w:r>
                  <w:r>
                    <w:br w:type="textWrapping"/>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 Bidder has failed prequalifiaction</w:t>
                  </w:r>
                  <w:r>
                    <w:br w:type="textWrapping"/>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 No contract</w:t>
                  </w:r>
                  <w:r>
                    <w:br w:type="textWrapping"/>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 Tender committee was staff</w:t>
                  </w:r>
                  <w:r>
                    <w:br w:type="textWrapping"/>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 PR same as quote </w:t>
                  </w:r>
                  <w:r>
                    <w:br w:type="textWrapping"/>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 No certificate of completion </w:t>
                  </w:r>
                  <w:r>
                    <w:br w:type="textWrapping"/>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 No retention</w:t>
                  </w:r>
                  <w:r>
                    <w:br w:type="textWrapping"/>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Engagement of suppliers outside the prequalified lis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Section 5.9 of the procurement manual provides that  " Request for Quotation  method shall be used to restrict the invitation to the prequalified/registered parties within a given category"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 observed that the following branches had engaged suppliers who were not in the prequalified list  </w:t>
            </w:r>
          </w:p>
          <w:p>
            <w:pPr>
              <w:pStyle w:val="BodyText"/>
              <w:numPr>
                <w:ilvl w:val="0"/>
                <w:numId w:val="15"/>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Uasin Gishu </w:t>
            </w:r>
          </w:p>
          <w:p>
            <w:pPr>
              <w:pStyle w:val="BodyText"/>
              <w:numPr>
                <w:ilvl w:val="0"/>
                <w:numId w:val="15"/>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Nandi </w:t>
            </w:r>
          </w:p>
          <w:p>
            <w:pPr>
              <w:pStyle w:val="BodyText"/>
              <w:numPr>
                <w:ilvl w:val="0"/>
                <w:numId w:val="15"/>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Elgeyo Marakwet </w:t>
            </w:r>
          </w:p>
          <w:p>
            <w:pPr>
              <w:pStyle w:val="BodyText"/>
              <w:numPr>
                <w:ilvl w:val="0"/>
                <w:numId w:val="15"/>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Bungoma </w:t>
            </w:r>
          </w:p>
          <w:p>
            <w:pPr>
              <w:pStyle w:val="BodyText"/>
              <w:numPr>
                <w:ilvl w:val="0"/>
                <w:numId w:val="15"/>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Trans Nzoia </w:t>
            </w:r>
          </w:p>
          <w:p>
            <w:pPr>
              <w:pStyle w:val="BodyText"/>
              <w:numPr>
                <w:ilvl w:val="0"/>
                <w:numId w:val="15"/>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West Pokot </w:t>
            </w:r>
          </w:p>
          <w:p>
            <w:pPr>
              <w:pStyle w:val="BodyText"/>
              <w:numPr>
                <w:ilvl w:val="0"/>
                <w:numId w:val="15"/>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Turkana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 Gaps in procurement of conference supplies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Turkana and Bungoma branch offer conference packages to projects as part of the Income Generating Activities (IGAs). We noted that the Turkana branch was engaging in bid splitting in order to use the low-value procurement method as tabulated below </w:t>
            </w:r>
          </w:p>
          <w:tbl>
            <w:tblPr>
              <w:tblW w:w="14184"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1553"/>
              <w:gridCol w:w="1808"/>
              <w:gridCol w:w="3002"/>
              <w:gridCol w:w="1456"/>
              <w:gridCol w:w="6365"/>
            </w:tblGrid>
            <w:tr>
              <w:trPr/>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Posting Date </w:t>
                  </w:r>
                </w:p>
              </w:tc>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Document No. </w:t>
                  </w:r>
                </w:p>
              </w:tc>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 </w:t>
                  </w:r>
                </w:p>
              </w:tc>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Amount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14/03/2025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TURBNK07-PV25-17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supply  of   food stuff RCAT and AA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125,050.00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Bid splitting to use low value procurement method. Some LPOs are issued to the branch weas the payment is to Kilimanjaro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14/03/2025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TURBNK07-PV25-22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food stuff for JRV and data collection  trainning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100,350.00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Bid splitting to use low value procurement method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 further observed that in Bungoma branch, funds were send to the accountant via mpesa for him to source for the supplies without following the procurement process . Examples include </w:t>
            </w:r>
          </w:p>
          <w:tbl>
            <w:tblPr>
              <w:tblW w:w="14184"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1551"/>
              <w:gridCol w:w="2137"/>
              <w:gridCol w:w="3058"/>
              <w:gridCol w:w="1455"/>
              <w:gridCol w:w="5983"/>
            </w:tblGrid>
            <w:tr>
              <w:trPr/>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Posting Date </w:t>
                  </w:r>
                </w:p>
              </w:tc>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Document No. </w:t>
                  </w:r>
                </w:p>
              </w:tc>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 </w:t>
                  </w:r>
                </w:p>
              </w:tc>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Amount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I.A Comments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11/04/2025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NRR/BGM/PV25-042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Conf costs-300 pax-Livelihood training at the bran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296,000.00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Mpesa done to the the F/A  who then pays all the service providers such as Vegetables, meat, supermarket, stationary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22/05/2025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NRR/BGM/PV25-065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Livelihood training conf costs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186,000.00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Mpesa paid to F/A 146,974 and Chef 39,000 to pay all service providers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 Tender process done/ redone at the point of payment</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 observed that Turkana branch had procured 4 air conditioners in 2024 but the procurement process was done this year including requesting quotes from suppliers knowing very well that they will not give them  business as delivery had already been done as tabulated below </w:t>
            </w:r>
          </w:p>
          <w:tbl>
            <w:tblPr>
              <w:tblW w:w="14184"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1516"/>
              <w:gridCol w:w="2699"/>
              <w:gridCol w:w="1931"/>
              <w:gridCol w:w="1439"/>
              <w:gridCol w:w="1816"/>
              <w:gridCol w:w="4783"/>
            </w:tblGrid>
            <w:tr>
              <w:trPr/>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Posting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w:t>
                  </w:r>
                </w:p>
              </w:tc>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Document No. </w:t>
                  </w:r>
                </w:p>
              </w:tc>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 </w:t>
                  </w:r>
                </w:p>
              </w:tc>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Amount </w:t>
                  </w:r>
                </w:p>
              </w:tc>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Customer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Name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I.A Remarks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10/04/2025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NRR_PSTDINV_25_0001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Purchase of air conditioning machine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90,000.00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SUMLURCA ENTERPRISES </w:t>
                  </w:r>
                </w:p>
              </w:tc>
              <w:tc>
                <w:tcPr>
                  <w:tcW w:w="0" w:type="auto"/>
                  <w:vMerge w:val="restart"/>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The aircons sourced and deliverd in October 2024. Procurement process done in 2025 as procurement with RFQ send on 2.4.2025 and quotes receive on 3.4.2025 . RFQ sent via email and quotes received on the same channel</w:t>
                  </w:r>
                  <w:r>
                    <w:br w:type="textWrapping"/>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10/04/2025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NRR_PSTDINV_25_0001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Purchase of air conditioning machine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150,000.00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SUMLURCA ENTERPRISES </w:t>
                  </w:r>
                </w:p>
              </w:tc>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 Transzoia branch, we observed new tender process done for a 2024 expense that was submitted late to UNHCR for payment and the branch had to pay. A new tender process done including asking for quotes from suppliers with full knowledge that they will not be given this business as tabulated below </w:t>
            </w:r>
          </w:p>
          <w:tbl>
            <w:tblPr>
              <w:tblW w:w="14184"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1534"/>
              <w:gridCol w:w="1683"/>
              <w:gridCol w:w="2111"/>
              <w:gridCol w:w="1326"/>
              <w:gridCol w:w="7530"/>
            </w:tblGrid>
            <w:tr>
              <w:trPr/>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Posting Date </w:t>
                  </w:r>
                </w:p>
              </w:tc>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Document No. </w:t>
                  </w:r>
                </w:p>
              </w:tc>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 </w:t>
                  </w:r>
                </w:p>
              </w:tc>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Amount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30/04/2025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BNKNRR16-PV25-19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Payment of food commodities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72,140.00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This is a UNHCR cost that dosuments were not submited on time for payment last year and the  branch had cover this cost as the financial year was closed . New documentation done for this year from PRF to Invoice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Capacity gaps of the branch procurement units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Inadequate supervision by the region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Lack of value for money procurement</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Poor quality of works </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Training and supervision of branch procurement</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8" w:name="_Toc527763806"/>
            <w:r>
              <w:rPr/>
              <w:t xml:space="preserve"> F4 Gaps in asset management</w:t>
            </w:r>
            <w:bookmarkEnd w:id="8"/>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asset management</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County Coordinators </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July  4,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Lack of title deeds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land title deed serves as legal proof of ownership of the land by the branches. It establishes the entity's rights and interests in the property, providing assurance of ownership to the entity and protecting it against claims of ownership by others. We observed that the following branches have been allocated land by either county government or community but did not have a title deeds </w:t>
            </w:r>
          </w:p>
          <w:p>
            <w:pPr>
              <w:pStyle w:val="BodyText"/>
              <w:numPr>
                <w:ilvl w:val="0"/>
                <w:numId w:val="1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Nandi branch </w:t>
            </w:r>
          </w:p>
          <w:p>
            <w:pPr>
              <w:pStyle w:val="BodyText"/>
              <w:numPr>
                <w:ilvl w:val="0"/>
                <w:numId w:val="1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Elgeyo Marakwet </w:t>
            </w:r>
          </w:p>
          <w:p>
            <w:pPr>
              <w:pStyle w:val="BodyText"/>
              <w:numPr>
                <w:ilvl w:val="0"/>
                <w:numId w:val="1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Bungoma branch- Land in Mt. Elgon </w:t>
            </w:r>
          </w:p>
          <w:p>
            <w:pPr>
              <w:pStyle w:val="BodyText"/>
              <w:numPr>
                <w:ilvl w:val="0"/>
                <w:numId w:val="1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Trans Nzoia branch </w:t>
            </w:r>
          </w:p>
          <w:p>
            <w:pPr>
              <w:pStyle w:val="BodyText"/>
              <w:numPr>
                <w:ilvl w:val="0"/>
                <w:numId w:val="1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West pokot </w:t>
            </w:r>
          </w:p>
          <w:p>
            <w:pPr>
              <w:pStyle w:val="BodyText"/>
              <w:numPr>
                <w:ilvl w:val="0"/>
                <w:numId w:val="1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Turkana Branch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Some branches have expressed concerns that pursuing land titles through the NSD Department and the National Land Officer may be costly and time-consuming. As a result, they prefer leveraging their existing relationships with county government offices to facilitate the titling process. There is need for the region to issue a directive on which avenue of getting titles to pursue.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Assets not insured</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Insuring organizational assets is a standard internal control and risk mitigation measure designed to protect against risks such as theft, fire, or accidental damage. Adequate insurance coverage is essential for ensuring asset protection and maintaining business continuity.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 the North Rift region, only motor vehicles were found to be insured. All other significant assets such office equipment, electronics, furniture, and other non-movable assets were not covered under any insurance policy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 Gaps in identification and tagging of assets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 Identified gaps in asset identification and classification, specifically with inventory and/or stationery items such as staplers, dustbins  and paper punches classified as assets. These items were tagged as fixed assets and  included in the Fixed Asset Register (FAR). This was observed in  </w:t>
            </w:r>
          </w:p>
          <w:p>
            <w:pPr>
              <w:pStyle w:val="BodyText"/>
              <w:numPr>
                <w:ilvl w:val="0"/>
                <w:numId w:val="1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Uasin Gishu branch </w:t>
            </w:r>
          </w:p>
          <w:p>
            <w:pPr>
              <w:pStyle w:val="BodyText"/>
              <w:numPr>
                <w:ilvl w:val="0"/>
                <w:numId w:val="1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Bungoma branch </w:t>
            </w:r>
          </w:p>
          <w:p>
            <w:pPr>
              <w:pStyle w:val="BodyText"/>
              <w:numPr>
                <w:ilvl w:val="0"/>
                <w:numId w:val="1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Trans Nzoia branch </w:t>
            </w:r>
          </w:p>
          <w:p>
            <w:pPr>
              <w:pStyle w:val="BodyText"/>
              <w:numPr>
                <w:ilvl w:val="0"/>
                <w:numId w:val="1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West pokot </w:t>
            </w:r>
          </w:p>
          <w:p>
            <w:pPr>
              <w:pStyle w:val="BodyText"/>
              <w:numPr>
                <w:ilvl w:val="0"/>
                <w:numId w:val="1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Turkana Branch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 Non functional assets in the MAR</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Master Asset Register contains non-functional or obsolete assets. These assets are properly documented in the asset registers as non functional yet they remain not disposed. This related to the following branches </w:t>
            </w:r>
          </w:p>
          <w:p>
            <w:pPr>
              <w:pStyle w:val="BodyText"/>
              <w:numPr>
                <w:ilvl w:val="0"/>
                <w:numId w:val="1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Uasin Gishu branch </w:t>
            </w:r>
          </w:p>
          <w:p>
            <w:pPr>
              <w:pStyle w:val="BodyText"/>
              <w:numPr>
                <w:ilvl w:val="0"/>
                <w:numId w:val="1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Nandi branch </w:t>
            </w:r>
          </w:p>
          <w:p>
            <w:pPr>
              <w:pStyle w:val="BodyText"/>
              <w:numPr>
                <w:ilvl w:val="0"/>
                <w:numId w:val="1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Elgeyo Marakwet </w:t>
            </w:r>
          </w:p>
          <w:p>
            <w:pPr>
              <w:pStyle w:val="BodyText"/>
              <w:numPr>
                <w:ilvl w:val="0"/>
                <w:numId w:val="1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Bungoma branch </w:t>
            </w:r>
          </w:p>
          <w:p>
            <w:pPr>
              <w:pStyle w:val="BodyText"/>
              <w:numPr>
                <w:ilvl w:val="0"/>
                <w:numId w:val="1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Trans Nzoia branch </w:t>
            </w:r>
          </w:p>
          <w:p>
            <w:pPr>
              <w:pStyle w:val="BodyText"/>
              <w:numPr>
                <w:ilvl w:val="0"/>
                <w:numId w:val="1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West pokot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Lack of automation of asset registers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Resource constraints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Lack of regular asset verification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Inadequate supervision and monitoring by the region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Loss, misuse and obsolescence of assets </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numPr>
                <w:ilvl w:val="0"/>
                <w:numId w:val="17"/>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Automation of the asset registers </w:t>
            </w:r>
          </w:p>
          <w:p>
            <w:pPr>
              <w:pStyle w:val="BodyText"/>
              <w:numPr>
                <w:ilvl w:val="0"/>
                <w:numId w:val="17"/>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Disposal of non functional and obsolete assets </w:t>
            </w:r>
          </w:p>
          <w:p>
            <w:pPr>
              <w:pStyle w:val="BodyText"/>
              <w:numPr>
                <w:ilvl w:val="0"/>
                <w:numId w:val="17"/>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Regular asset verification  </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9" w:name="_Toc1572114071"/>
            <w:r>
              <w:rPr/>
              <w:t xml:space="preserve"> F5 Gaps in IGA planning in Bungoma</w:t>
            </w:r>
            <w:bookmarkEnd w:id="9"/>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County Coordinator</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July  4,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To enhance its financial sustainability, the Bungoma branch initiated an income-generating activity (IGA) by establishing a greenhouse for tomato farming. The initial investment for this project was approximately Ksh 500,000, with the expectation that the cost would be recovered over four harvesting cycles spanning about one year.</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However, the audit identified several implementation gaps that have adversely affected the project. These shortcomings have led to damage of the current crop, thereby jeopardizing the ability of the branch to achieve its intended financial and operational objectives, as outlined below: </w:t>
            </w:r>
          </w:p>
          <w:p>
            <w:pPr>
              <w:pStyle w:val="BodyText"/>
              <w:numPr>
                <w:ilvl w:val="0"/>
                <w:numId w:val="18"/>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Lack of Formal Training:</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Personnel overseeing greenhouse operations have not received formal training in horticulture or greenhouse management. While efforts are being made to learn on the job, this limits the application of best agricultural practices. </w:t>
            </w:r>
          </w:p>
          <w:p>
            <w:pPr>
              <w:pStyle w:val="BodyText"/>
              <w:numPr>
                <w:ilvl w:val="0"/>
                <w:numId w:val="18"/>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Inadequate Access Controls: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Controlled access to the greenhouse facility had not been implemented. This led to the crops contamination, ultimately leading to the deterioration and disease of the crops. </w:t>
            </w:r>
          </w:p>
          <w:p>
            <w:pPr>
              <w:pStyle w:val="BodyText"/>
              <w:numPr>
                <w:ilvl w:val="0"/>
                <w:numId w:val="18"/>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Improper handling of  Chemicals: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same equipment used for the fumigation business was also used to spray crops in the greenhouse. This cross-usage resulted in chemical contamination that contributed to crop damage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Lack of proper planning before undertaking the initiative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Inadequate skills in management of green houses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Financial losses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 recommend </w:t>
            </w:r>
          </w:p>
          <w:p>
            <w:pPr>
              <w:pStyle w:val="BodyText"/>
              <w:numPr>
                <w:ilvl w:val="0"/>
                <w:numId w:val="19"/>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Improve Planning:</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Conduct thorough feasibility studies and planning before starting income-generating projects to ensure readiness and sustainability. </w:t>
            </w:r>
          </w:p>
          <w:p>
            <w:pPr>
              <w:pStyle w:val="BodyText"/>
              <w:numPr>
                <w:ilvl w:val="0"/>
                <w:numId w:val="19"/>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Build Technical Skills: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Provide formal training for staff on greenhouse management, including crop care, pest control, and safe chemical use. </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10" w:name="_Toc541933093"/>
            <w:r>
              <w:rPr/>
              <w:t xml:space="preserve"> F6 Volunteers playing key roles</w:t>
            </w:r>
            <w:bookmarkEnd w:id="10"/>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HOR</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July  7,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Key roles at the branches such as finance and procurement should be handled by formally appointed staff who are trained, accountable, and subject to organizational oversight. Staff are bound by contracts, codes of conduct, and internal controls thus ensuring compliance with financial policies and donor requirements.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 observed that in Bungoma, West Pokot, and Nandi county branches, finance  and procurement role was performed by volunteers instead of staff.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Futhermore In Elgeyo Marakwet, these roles are not delegated, resulting in the County Coordinator (CC) handling operational tasks directly, limiting their capacity for strategic leadership.</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Lack of direction by the region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Lack of formal accountability for volunteers handling sensitive functions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Increased risk of financial errors, non-compliance, or fraud</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Overburdened CC in Elgeyo Marakwet, reducing focus on strategic tasks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Appoint qualified staff to handle finance and procurement across all county branches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Allocate administrative support in Elgeyo Marakwet to allow the CC to focus on strategic leadership</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p>
      <w:pPr>
        <w:pStyle w:val="BodyText"/>
        <w:rPr>
          <w:i w:val="off"/>
          <w:iCs w:val="off"/>
          <w:smallCaps w:val="off"/>
          <w:strike w:val="off"/>
          <w:dstrike w:val="off"/>
          <w:outline w:val="off"/>
          <w:shadow w:val="off"/>
          <w:vanish w:val="off"/>
          <w:spacing w:val="0"/>
          <w:w w:val="100"/>
          <w:kern w:val="0"/>
          <w:position w:val="0"/>
          <w:sz w:val="20"/>
          <w:szCs w:val="20"/>
          <w:vertAlign w:val="baseline"/>
        </w:rPr>
      </w:pPr>
      <w:r>
        <w:rPr>
          <w:rFonts w:ascii="Times"/>
          <w:b w:val="off"/>
        </w:rPr>
        <w:t xml:space="preserve"> </w:t>
      </w:r>
      <w:r>
        <w:rPr/>
        <w:t xml:space="preserve"> </w:t>
      </w:r>
    </w:p>
    <w:sectPr>
      <w:type w:val="nextPage"/>
      <w:pgSz w:w="15840" w:h="12240" w:orient="landscape"/>
      <w:pgMar w:top="720" w:right="720" w:bottom="720" w:left="720" w:header="397" w:footer="397" w:gutter="0"/>
      <w:cols w:space="720"/>
      <w:textDirection w:val="lrTb"/>
      <w:bidi w:val="off"/>
    </w:sectPr>
  </w:body>
</w:document>
</file>

<file path=word/fontTable.xml><?xml version="1.0" encoding="utf-8"?>
<w:fonts xmlns:r="http://schemas.openxmlformats.org/officeDocument/2006/relationships" xmlns:w="http://schemas.openxmlformats.org/wordprocessingml/2006/main">
  <w:font w:name="Arial">
    <w:charset w:val="00"/>
    <w:family w:val="swiss"/>
    <w:pitch w:val="variable"/>
  </w:font>
  <w:font w:name="Calibri">
    <w:panose1 w:val="020F0502020204030204"/>
    <w:charset w:val="00"/>
    <w:family w:val="swiss"/>
    <w:pitch w:val="variable"/>
  </w:font>
  <w:font w:name="Cambria">
    <w:panose1 w:val="02040503050406030204"/>
    <w:charset w:val="00"/>
    <w:family w:val="roman"/>
    <w:pitch w:val="variable"/>
  </w:font>
  <w:font w:name="Courier New">
    <w:panose1 w:val="02070309020205020404"/>
    <w:charset w:val="00"/>
    <w:family w:val="modern"/>
    <w:pitch w:val="fixed"/>
  </w:font>
  <w:font w:name="Lato">
    <w:altName w:val="Segoe UI"/>
    <w:charset w:val="00"/>
    <w:family w:val="swiss"/>
    <w:pitch w:val="variable"/>
  </w:font>
  <w:font w:name="Lato-Light">
    <w:altName w:val="Times New Roman"/>
    <w:charset w:val="00"/>
    <w:family w:val="modern"/>
    <w:pitch w:val="variable"/>
  </w:font>
  <w:font w:name="MS Gothic">
    <w:altName w:val="ＭＳ ゴシック"/>
    <w:panose1 w:val="020B0609070205080204"/>
    <w:charset w:val="80"/>
    <w:family w:val="modern"/>
    <w:pitch w:val="fixed"/>
  </w:font>
  <w:font w:name="MS Mincho">
    <w:altName w:val="ＭＳ 明朝"/>
    <w:panose1 w:val="02020609040205080304"/>
    <w:charset w:val="80"/>
    <w:family w:val="modern"/>
    <w:pitch w:val="fixed"/>
  </w:font>
  <w:font w:name="Malgun Gothic">
    <w:charset w:val="81"/>
    <w:family w:val="roman"/>
    <w:pitch w:val="default"/>
  </w:font>
  <w:font w:name="PMingLiU">
    <w:charset w:val="88"/>
    <w:family w:val="roman"/>
    <w:pitch w:val="default"/>
  </w:font>
  <w:font w:name="SimSun">
    <w:charset w:val="86"/>
    <w:family w:val="roman"/>
    <w:pitch w:val="default"/>
  </w:font>
  <w:font w:name="Symbol">
    <w:panose1 w:val="05050102010706020507"/>
    <w:charset w:val="02"/>
    <w:family w:val="roman"/>
    <w:pitch w:val="variable"/>
  </w:font>
  <w:font w:name="Tahoma">
    <w:panose1 w:val="020B0604030504040204"/>
    <w:charset w:val="00"/>
    <w:family w:val="swiss"/>
    <w:pitch w:val="variable"/>
  </w:font>
  <w:font w:name="Times">
    <w:altName w:val="Times New Roman"/>
    <w:panose1 w:val="02020603050405020304"/>
    <w:charset w:val="00"/>
    <w:family w:val="roman"/>
    <w:pitch w:val="variable"/>
  </w:font>
  <w:font w:name="Times New Roman">
    <w:panose1 w:val="02020603050405020304"/>
    <w:charset w:val="00"/>
    <w:family w:val="roman"/>
    <w:pitch w:val="variable"/>
  </w:font>
  <w:font w:name="Verdana">
    <w:panose1 w:val="020B0604030504040204"/>
    <w:charset w:val="00"/>
    <w:family w:val="swiss"/>
    <w:pitch w:val="variable"/>
  </w:font>
  <w:font w:name="Wingdings">
    <w:panose1 w:val="05000000000000000000"/>
    <w:charset w:val="02"/>
    <w:family w:val="moder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tabs>
        <w:tab w:val="center" w:leader="none" w:pos="7230"/>
        <w:tab w:val="right" w:leader="none" w:pos="14317"/>
      </w:tabs>
      <w:rPr>
        <w:rFonts w:asciiTheme="minorHAnsi" w:hAnsiTheme="minorHAnsi"/>
        <w:color w:val="53529F"/>
        <w:sz w:val="16"/>
        <w:szCs w:val="16"/>
      </w:rPr>
    </w:pPr>
    <w:r>
      <w:drawing>
        <wp:anchor distT="0" distB="0" distL="114300" distR="114300" simplePos="0" relativeHeight="17408" behindDoc="0" layoutInCell="1" allowOverlap="0" locked="0">
          <wp:simplePos x="0" y="0"/>
          <wp:positionH relativeFrom="page">
            <wp:posOffset>3126740</wp:posOffset>
          </wp:positionH>
          <wp:positionV relativeFrom="page">
            <wp:posOffset>6944995</wp:posOffset>
          </wp:positionV>
          <wp:extent cx="3506470" cy="828040"/>
          <wp:effectExtent l="0" t="0" r="0" b="0"/>
          <wp:wrapNone/>
          <wp:docPr id="2" name="Shape 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3506498" cy="828000"/>
                  </a:xfrm>
                  <a:prstGeom xmlns:a="http://schemas.openxmlformats.org/drawingml/2006/main" prst="rect">
                    <a:avLst/>
                  </a:prstGeom>
                  <a:solidFill xmlns:a="http://schemas.openxmlformats.org/drawingml/2006/main">
                    <a:srgbClr val="FFFFFF">
                      <a:alpha val="0"/>
                    </a:srgbClr>
                  </a:solidFill>
                  <a:ln xmlns:a="http://schemas.openxmlformats.org/drawingml/2006/main" w="9525">
                    <a:noFill/>
                    <a:miter lim="800000"/>
                    <a:headEnd/>
                    <a:tailEnd/>
                  </a:ln>
                </wps:spPr>
                <wps:txbx>
                  <w:txbxContent>
                    <w:p>
                      <w:pPr>
                        <w:jc w:val="center"/>
                        <w:rPr>
                          <w:rFonts w:asciiTheme="minorHAnsi" w:hAnsiTheme="minorHAnsi"/>
                          <w:color w:val="4A478A"/>
                          <w:sz w:val="16"/>
                          <w:szCs w:val="16"/>
                        </w:rPr>
                      </w:pPr>
                    </w:p>
                    <w:p>
                      <w:pPr>
                        <w:jc w:val="center"/>
                        <w:rPr/>
                      </w:pPr>
                      <w:r>
                        <w:drawing>
                          <wp:inline>
                            <wp:extent cx="565785" cy="360045"/>
                            <wp:docPr id="3" name="WR4" descr="WR4"/>
                            <a:graphic>
                              <a:graphicData uri="http://schemas.openxmlformats.org/drawingml/2006/picture">
                                <pic:pic xmlns:pic="http://schemas.openxmlformats.org/drawingml/2006/picture">
                                  <pic:nvPicPr>
                                    <pic:cNvPr id="4" name="WR4"/>
                                    <pic:cNvPicPr/>
                                  </pic:nvPicPr>
                                  <pic:blipFill>
                                    <a:blip r:embed="rId1"/>
                                    <a:stretch>
                                      <a:fillRect/>
                                    </a:stretch>
                                  </pic:blipFill>
                                  <pic:spPr>
                                    <a:xfrm>
                                      <a:off x="0" y="0"/>
                                      <a:ext cx="565785" cy="360045"/>
                                    </a:xfrm>
                                    <a:prstGeom prst="rect">
                                      <a:avLst/>
                                    </a:prstGeom>
                                  </pic:spPr>
                                </pic:pic>
                              </a:graphicData>
                            </a:graphic>
                          </wp:inline>
                        </w:drawing>
                      </w:r>
                    </w:p>
                  </w:txbxContent>
                </wps:txbx>
                <w10:wrap anchorx="page" anchory="page"/>
                <wps:bodyPr xmlns:wps="http://schemas.microsoft.com/office/word/2010/wordprocessingShape" rot="0" vert="horz" wrap="square" lIns="91440" tIns="45720" rIns="91440" bIns="45720" anchor="t" anchorCtr="0">
                  <a:noAutofit xmlns:a="http://schemas.openxmlformats.org/drawingml/2006/main"/>
                </wps:bodyPr>
              </wps:wsp>
            </a:graphicData>
          </a:graphic>
        </wp:anchor>
      </w:drawing>
    </w:r>
    <w:r>
      <w:rPr>
        <w:rFonts w:asciiTheme="minorHAnsi" w:hAnsiTheme="minorHAnsi"/>
        <w:color w:val="53529F"/>
        <w:sz w:val="16"/>
        <w:szCs w:val="16"/>
      </w:rPr>
      <w:t xml:space="preserve"> PRIVATE &amp; CONFIDENTIAL | Not Approved for Distribution Without Prior Approval </w:t>
    </w:r>
    <w:r>
      <w:rPr>
        <w:rFonts w:asciiTheme="minorHAnsi" w:hAnsiTheme="minorHAnsi"/>
        <w:color w:val="4A478A"/>
        <w:sz w:val="16"/>
        <w:szCs w:val="16"/>
      </w:rPr>
      <w:tab/>
    </w:r>
    <w:r>
      <w:rPr>
        <w:rFonts w:asciiTheme="minorHAnsi" w:hAnsiTheme="minorHAnsi"/>
        <w:color w:val="4A478A"/>
        <w:sz w:val="16"/>
        <w:szCs w:val="16"/>
      </w:rPr>
      <w:tab/>
    </w:r>
    <w:r>
      <w:rPr>
        <w:rFonts w:asciiTheme="minorHAnsi" w:hAnsiTheme="minorHAnsi"/>
        <w:b w:val="off"/>
        <w:color w:val="7F7F7F"/>
        <w:sz w:val="16"/>
        <w:szCs w:val="16"/>
      </w:rPr>
      <w:t xml:space="preserve">KRCS North Rift Region Spot Check June 2025 Report | Generated on April  2, 2026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PAGE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1</w:t>
    </w:r>
    <w:r>
      <w:rPr>
        <w:rFonts w:asciiTheme="minorHAnsi" w:hAnsiTheme="minorHAnsi"/>
        <w:b w:val="off"/>
        <w:color w:val="7F7F7F"/>
        <w:sz w:val="16"/>
        <w:szCs w:val="16"/>
      </w:rPr>
      <w:fldChar w:fldCharType="end"/>
    </w:r>
    <w:r>
      <w:rPr>
        <w:rFonts w:asciiTheme="minorHAnsi" w:hAnsiTheme="minorHAnsi"/>
        <w:b w:val="off"/>
        <w:color w:val="7F7F7F"/>
        <w:sz w:val="16"/>
        <w:szCs w:val="16"/>
      </w:rPr>
      <w:t xml:space="preserve"> /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NUMPAGES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25</w:t>
    </w:r>
    <w:r>
      <w:rPr>
        <w:rFonts w:asciiTheme="minorHAnsi" w:hAnsiTheme="minorHAnsi"/>
        <w:b w:val="off"/>
        <w:color w:val="7F7F7F"/>
        <w:sz w:val="16"/>
        <w:szCs w:val="16"/>
      </w:rPr>
      <w:fldChar w:fldCharType="end"/>
    </w:r>
    <w:r>
      <w:rPr>
        <w:rFonts w:asciiTheme="minorHAnsi" w:hAnsiTheme="minorHAnsi"/>
        <w:b w:val="off"/>
        <w:color w:val="FFFFFF" w:themeColor="background1"/>
        <w:sz w:val="16"/>
        <w:szCs w:val="16"/>
      </w:rPr>
      <w:t xml:space="preserve">X</w:t>
    </w:r>
    <w:r>
      <w:rPr>
        <w:rFonts w:asciiTheme="minorHAnsi" w:hAnsiTheme="minorHAnsi"/>
        <w:b w:val="off"/>
        <w:color w:val="7F7F7F"/>
        <w:sz w:val="16"/>
        <w:szCs w:val="16"/>
      </w:rPr>
      <w:t xml:space="preserve">  </w:t>
    </w:r>
    <w:r>
      <w:rPr>
        <w:rFonts w:asciiTheme="minorHAnsi" w:hAnsiTheme="minorHAnsi"/>
        <w:color w:val="4A478A"/>
        <w:sz w:val="16"/>
        <w:szCs w:val="16"/>
      </w:rP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footnote w:type="separator" w:id="-1">
    <w:p>
      <w:pPr>
        <w:rPr/>
      </w:pPr>
      <w:r>
        <w:separator/>
      </w:r>
    </w:p>
  </w:footnote>
  <w:footnote w:type="continuationSeparator" w:id="0">
    <w:p>
      <w:pPr>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ind w:firstLine="426"/>
      <w:rPr/>
    </w:pPr>
    <w:r>
      <w:drawing>
        <wp:anchor distT="0" distB="0" distL="114300" distR="114300" simplePos="0" relativeHeight="16384" behindDoc="1" layoutInCell="1" allowOverlap="1" locked="0">
          <wp:simplePos x="0" y="0"/>
          <wp:positionH relativeFrom="column">
            <wp:posOffset>-194945</wp:posOffset>
          </wp:positionH>
          <wp:positionV relativeFrom="paragraph">
            <wp:posOffset>2540</wp:posOffset>
          </wp:positionV>
          <wp:extent cx="9533890" cy="6856096"/>
          <wp:effectExtent l="0" t="0" r="0" b="1905"/>
          <wp:wrapNone/>
          <wp:docPr id="1" name="darkerbg_1024.jpg" descr="darkerbg_1024.jpg"/>
          <a:graphic xmlns:a="http://schemas.openxmlformats.org/drawingml/2006/main">
            <a:graphicData uri="http://schemas.openxmlformats.org/drawingml/2006/picture">
              <pic:pic xmlns:pic="http://schemas.openxmlformats.org/drawingml/2006/picture">
                <pic:nvPicPr>
                  <pic:cNvPr id="0" name="darkerbg_1024.jpg"/>
                  <pic:cNvPicPr/>
                </pic:nvPicPr>
                <pic:blipFill>
                  <a:blip r:embed="rId2"/>
                  <a:stretch>
                    <a:fillRect/>
                  </a:stretch>
                </pic:blipFill>
                <pic:spPr xmlns:pic="http://schemas.openxmlformats.org/drawingml/2006/picture">
                  <a:xfrm xmlns:a="http://schemas.openxmlformats.org/drawingml/2006/main">
                    <a:off x="0" y="0"/>
                    <a:ext cx="9533890" cy="6856096"/>
                  </a:xfrm>
                  <a:prstGeom xmlns:a="http://schemas.openxmlformats.org/drawingml/2006/main"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PageHeading"/>
      <w:rPr>
        <w:b w:val="on"/>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 xmlns:wp="http://schemas.openxmlformats.org/drawingml/2006/wordprocessingDrawing" xmlns:w10="urn:schemas-microsoft-com:office:word" xmlns:w="http://schemas.openxmlformats.org/wordprocessingml/2006/main" xmlns:wne="http://schemas.microsoft.com/office/word/2006/wordml">
  <w:abstractNum w:abstractNumId="1">
    <w:multiLevelType w:val="multilevel"/>
    <w:tmpl w:val="4972058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
    <w:multiLevelType w:val="singleLevel"/>
    <w:tmpl w:val="8b1296d0"/>
    <w:lvl w:ilvl="0">
      <w:start w:val="1"/>
      <w:numFmt w:val="decimal"/>
      <w:lvlText w:val="%1."/>
      <w:lvlJc w:val="left"/>
      <w:pPr>
        <w:tabs>
          <w:tab w:val="num" w:pos="1492"/>
        </w:tabs>
        <w:ind w:left="1492"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3">
    <w:multiLevelType w:val="singleLevel"/>
    <w:tmpl w:val="25b29c12"/>
    <w:lvl w:ilvl="0">
      <w:start w:val="1"/>
      <w:numFmt w:val="decimal"/>
      <w:lvlText w:val="%1."/>
      <w:lvlJc w:val="left"/>
      <w:pPr>
        <w:tabs>
          <w:tab w:val="num" w:pos="1209"/>
        </w:tabs>
        <w:ind w:left="1209"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4">
    <w:multiLevelType w:val="singleLevel"/>
    <w:tmpl w:val="f78a1640"/>
    <w:lvl w:ilvl="0">
      <w:start w:val="1"/>
      <w:numFmt w:val="decimal"/>
      <w:lvlText w:val="%1."/>
      <w:lvlJc w:val="left"/>
      <w:pPr>
        <w:tabs>
          <w:tab w:val="num" w:pos="926"/>
        </w:tabs>
        <w:ind w:left="926"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5">
    <w:multiLevelType w:val="singleLevel"/>
    <w:tmpl w:val="ecc83b30"/>
    <w:lvl w:ilvl="0">
      <w:start w:val="1"/>
      <w:numFmt w:val="decimal"/>
      <w:lvlText w:val="%1."/>
      <w:lvlJc w:val="left"/>
      <w:pPr>
        <w:tabs>
          <w:tab w:val="num" w:pos="643"/>
        </w:tabs>
        <w:ind w:left="643"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6">
    <w:multiLevelType w:val="singleLevel"/>
    <w:tmpl w:val="1c0c3b48"/>
    <w:lvl w:ilvl="0">
      <w:start w:val="1"/>
      <w:numFmt w:val="bullet"/>
      <w:lvlText w:val=""/>
      <w:lvlJc w:val="left"/>
      <w:pPr>
        <w:tabs>
          <w:tab w:val="num" w:pos="1492"/>
        </w:tabs>
        <w:ind w:left="1492"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7">
    <w:multiLevelType w:val="singleLevel"/>
    <w:tmpl w:val="90fed928"/>
    <w:lvl w:ilvl="0">
      <w:start w:val="1"/>
      <w:numFmt w:val="bullet"/>
      <w:lvlText w:val=""/>
      <w:lvlJc w:val="left"/>
      <w:pPr>
        <w:tabs>
          <w:tab w:val="num" w:pos="1209"/>
        </w:tabs>
        <w:ind w:left="1209"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8">
    <w:multiLevelType w:val="singleLevel"/>
    <w:tmpl w:val="90dcc222"/>
    <w:lvl w:ilvl="0">
      <w:start w:val="1"/>
      <w:numFmt w:val="bullet"/>
      <w:lvlText w:val=""/>
      <w:lvlJc w:val="left"/>
      <w:pPr>
        <w:tabs>
          <w:tab w:val="num" w:pos="926"/>
        </w:tabs>
        <w:ind w:left="926"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9">
    <w:multiLevelType w:val="singleLevel"/>
    <w:tmpl w:val="1b2818c0"/>
    <w:lvl w:ilvl="0">
      <w:start w:val="1"/>
      <w:numFmt w:val="bullet"/>
      <w:lvlText w:val=""/>
      <w:lvlJc w:val="left"/>
      <w:pPr>
        <w:tabs>
          <w:tab w:val="num" w:pos="643"/>
        </w:tabs>
        <w:ind w:left="643"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0">
    <w:multiLevelType w:val="singleLevel"/>
    <w:tmpl w:val="1194a700"/>
    <w:lvl w:ilvl="0">
      <w:start w:val="1"/>
      <w:numFmt w:val="decimal"/>
      <w:lvlText w:val="%1."/>
      <w:lvlJc w:val="left"/>
      <w:pPr>
        <w:tabs>
          <w:tab w:val="num" w:pos="360"/>
        </w:tabs>
        <w:ind w:left="360"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1">
    <w:multiLevelType w:val="singleLevel"/>
    <w:tmpl w:val="bd8a0292"/>
    <w:lvl w:ilvl="0">
      <w:start w:val="1"/>
      <w:numFmt w:val="bullet"/>
      <w:lvlText w:val=""/>
      <w:lvlJc w:val="left"/>
      <w:pPr>
        <w:tabs>
          <w:tab w:val="num" w:pos="360"/>
        </w:tabs>
        <w:ind w:left="360"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2">
    <w:multiLevelType w:val="hybridMultilevel"/>
    <w:tmpl w:val="bb6fac30"/>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13">
    <w:multiLevelType w:val="hybridMultilevel"/>
    <w:tmpl w:val="ae461d30"/>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14">
    <w:multiLevelType w:val="hybridMultilevel"/>
    <w:tmpl w:val="bcd66c88"/>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15">
    <w:multiLevelType w:val="hybridMultilevel"/>
    <w:tmpl w:val="fd22e1f0"/>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16">
    <w:multiLevelType w:val="hybridMultilevel"/>
    <w:tmpl w:val="5eda8b65"/>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17">
    <w:multiLevelType w:val="hybridMultilevel"/>
    <w:tmpl w:val="9c25f23e"/>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18">
    <w:multiLevelType w:val="hybridMultilevel"/>
    <w:tmpl w:val="cdac43b4"/>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19">
    <w:multiLevelType w:val="hybridMultilevel"/>
    <w:tmpl w:val="e3a23cc4"/>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10"/>
  </w:num>
  <w:num w:numId="7">
    <w:abstractNumId w:val="6"/>
  </w:num>
  <w:num w:numId="8">
    <w:abstractNumId w:val="7"/>
  </w:num>
  <w:num w:numId="9">
    <w:abstractNumId w:val="8"/>
  </w:num>
  <w:num w:numId="10">
    <w:abstractNumId w:val="9"/>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footnotePr>
    <w:footnote w:id="-1"/>
    <w:footnote w:id="0"/>
  </w:footnotePr>
  <w:compat>
    <w:compatSetting w:name="compatibilityMode" w:uri="http://schemas.microsoft.com/office/word" w:val="15"/>
  </w:compat>
  <w:clrSchemeMapping w:bg1="light1" w:bg2="light2" w:followedHyperlink="followedHyperlink" w:accent2="accent2" w:accent1="accent1" w:accent4="accent4" w:accent3="accent3" w:accent6="accent6" w:accent5="accent5" w:t1="dark1" w:t2="dark2" w:hyperlink="hyperlink"/>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cstheme="minorBidi" w:eastAsiaTheme="minorHAnsi"/>
        <w:sz w:val="22"/>
        <w:szCs w:val="22"/>
        <w:lang w:val="en-US" w:eastAsia="en-US" w:bidi="ar-SA"/>
      </w:rPr>
    </w:rPrDefault>
    <w:pPrDefault>
      <w:pPr>
        <w:widowControl w:val="off"/>
      </w:pPr>
    </w:pPrDefault>
  </w:docDefaults>
  <w:style w:type="paragraph" w:default="1" w:styleId="Normal">
    <w:name w:val="Normal"/>
    <w:pPr/>
    <w:rPr>
      <w:rFonts w:ascii="Lato" w:hAnsi="Lato" w:eastAsia="Lato" w:cs="Lato"/>
    </w:rPr>
  </w:style>
  <w:style w:type="paragraph" w:styleId="Heading1">
    <w:name w:val="heading 1"/>
    <w:basedOn w:val="Normal"/>
    <w:link w:val="Heading1Char"/>
    <w:pPr>
      <w:keepNext w:val="on"/>
      <w:keepLines w:val="on"/>
      <w:spacing w:before="240"/>
      <w:outlineLvl w:val="0"/>
    </w:pPr>
    <w:rPr>
      <w:rFonts w:asciiTheme="majorHAnsi" w:hAnsiTheme="majorHAnsi" w:cstheme="majorBidi" w:eastAsiaTheme="majorEastAsia"/>
      <w:color w:val="3E3D76" w:themeColor="accent1" w:themeShade="BF"/>
      <w:sz w:val="32"/>
      <w:szCs w:val="32"/>
    </w:rPr>
  </w:style>
  <w:style w:type="paragraph" w:styleId="Heading2">
    <w:name w:val="heading 2"/>
    <w:basedOn w:val="Normal"/>
    <w:link w:val="Heading2Char"/>
    <w:pPr>
      <w:keepNext w:val="on"/>
      <w:keepLines w:val="on"/>
      <w:spacing w:before="200"/>
      <w:outlineLvl w:val="1"/>
    </w:pPr>
    <w:rPr>
      <w:rFonts w:asciiTheme="majorHAnsi" w:hAnsiTheme="majorHAnsi" w:cstheme="majorBidi" w:eastAsiaTheme="majorEastAsia"/>
      <w:b w:val="on"/>
      <w:bCs/>
      <w:color w:val="53529F" w:themeColor="accent1"/>
      <w:sz w:val="26"/>
      <w:szCs w:val="26"/>
    </w:rPr>
  </w:style>
  <w:style w:type="paragraph" w:styleId="Heading3">
    <w:name w:val="heading 3"/>
    <w:basedOn w:val="Normal"/>
    <w:link w:val="Heading3Char"/>
    <w:pPr>
      <w:keepNext w:val="on"/>
      <w:keepLines w:val="on"/>
      <w:spacing w:before="200"/>
      <w:outlineLvl w:val="2"/>
    </w:pPr>
    <w:rPr>
      <w:rFonts w:asciiTheme="majorHAnsi" w:hAnsiTheme="majorHAnsi" w:cstheme="majorBidi" w:eastAsiaTheme="majorEastAsia"/>
      <w:b w:val="on"/>
      <w:bCs/>
      <w:color w:val="53529F" w:themeColor="accent1"/>
    </w:rPr>
  </w:style>
  <w:style w:type="character" w:default="1" w:styleId="DefaultParagraphFont">
    <w:name w:val="Default Paragraph Font"/>
    <w:pPr/>
    <w:rPr/>
  </w:style>
  <w:style w:type="table" w:default="1" w:styleId="TableNormal">
    <w:name w:val="Normal Table"/>
    <w:pPr/>
    <w:rPr/>
    <w:tblPr>
      <w:tblInd w:w="0" w:type="dxa"/>
      <w:tblCellMar>
        <w:top w:w="0" w:type="dxa"/>
        <w:left w:w="108" w:type="dxa"/>
        <w:bottom w:w="0" w:type="dxa"/>
        <w:right w:w="108" w:type="dxa"/>
      </w:tblCellMar>
    </w:tblPr>
    <w:trPr/>
    <w:tcPr/>
  </w:style>
  <w:style w:type="numbering" w:default="1" w:styleId="NoList">
    <w:name w:val="No List"/>
    <w:pPr/>
    <w:rPr/>
  </w:style>
  <w:style w:type="paragraph" w:styleId="BodyText">
    <w:name w:val="Body Text"/>
    <w:basedOn w:val="Normal"/>
    <w:link w:val="BodyTextChar"/>
    <w:pPr/>
    <w:rPr>
      <w:b w:val="on"/>
      <w:bCs/>
      <w:sz w:val="20"/>
      <w:szCs w:val="20"/>
    </w:rPr>
  </w:style>
  <w:style w:type="paragraph" w:styleId="ListParagraph">
    <w:name w:val="List Paragraph"/>
    <w:basedOn w:val="Normal"/>
    <w:pPr/>
    <w:rPr/>
  </w:style>
  <w:style w:type="paragraph" w:styleId="TableParagraph">
    <w:name w:val="Table Paragraph"/>
    <w:basedOn w:val="Normal"/>
    <w:pPr/>
    <w:rPr>
      <w:rFonts w:ascii="Lato-Light" w:hAnsi="Lato-Light" w:eastAsia="Lato-Light" w:cs="Lato-Light"/>
    </w:rPr>
  </w:style>
  <w:style w:type="table" w:styleId="TableGrid">
    <w:name w:val="Table Grid"/>
    <w:basedOn w:val="TableNormal"/>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 w:type="character" w:styleId="Heading1Char">
    <w:name w:val="Heading 1 Char"/>
    <w:basedOn w:val="DefaultParagraphFont"/>
    <w:link w:val="Heading1"/>
    <w:pPr/>
    <w:rPr>
      <w:rFonts w:asciiTheme="majorHAnsi" w:hAnsiTheme="majorHAnsi" w:cstheme="majorBidi" w:eastAsiaTheme="majorEastAsia"/>
      <w:color w:val="3E3D76" w:themeColor="accent1" w:themeShade="BF"/>
      <w:sz w:val="32"/>
      <w:szCs w:val="32"/>
    </w:rPr>
  </w:style>
  <w:style w:type="paragraph" w:styleId="TOC-Heading">
    <w:name w:val="TOC-Heading"/>
    <w:basedOn w:val="BodyText"/>
    <w:pPr/>
    <w:rPr>
      <w:color w:val="4A478B"/>
    </w:rPr>
  </w:style>
  <w:style w:type="paragraph" w:styleId="TOC1">
    <w:name w:val="toc 1"/>
    <w:basedOn w:val="Normal"/>
    <w:pPr>
      <w:tabs>
        <w:tab w:val="right" w:leader="dot" w:pos="14410"/>
      </w:tabs>
      <w:spacing w:before="120"/>
    </w:pPr>
    <w:rPr>
      <w:rFonts w:asciiTheme="minorHAnsi" w:hAnsiTheme="minorHAnsi"/>
      <w:bCs/>
      <w:color w:val="070F13" w:themeColor="text1"/>
      <w:sz w:val="24"/>
    </w:rPr>
  </w:style>
  <w:style w:type="paragraph" w:styleId="TOC2">
    <w:name w:val="toc 2"/>
    <w:basedOn w:val="Normal"/>
    <w:pPr>
      <w:ind w:left="220"/>
    </w:pPr>
    <w:rPr>
      <w:rFonts w:asciiTheme="minorHAnsi" w:hAnsiTheme="minorHAnsi"/>
      <w:i/>
      <w:iCs/>
    </w:rPr>
  </w:style>
  <w:style w:type="paragraph" w:styleId="TOC3">
    <w:name w:val="toc 3"/>
    <w:basedOn w:val="Normal"/>
    <w:pPr>
      <w:ind w:left="440"/>
    </w:pPr>
    <w:rPr>
      <w:rFonts w:asciiTheme="minorHAnsi" w:hAnsiTheme="minorHAnsi"/>
    </w:rPr>
  </w:style>
  <w:style w:type="paragraph" w:styleId="TOC4">
    <w:name w:val="toc 4"/>
    <w:basedOn w:val="Normal"/>
    <w:pPr>
      <w:ind w:left="660"/>
    </w:pPr>
    <w:rPr>
      <w:rFonts w:asciiTheme="minorHAnsi" w:hAnsiTheme="minorHAnsi"/>
      <w:sz w:val="20"/>
      <w:szCs w:val="20"/>
    </w:rPr>
  </w:style>
  <w:style w:type="paragraph" w:styleId="TOC5">
    <w:name w:val="toc 5"/>
    <w:basedOn w:val="Normal"/>
    <w:pPr>
      <w:ind w:left="880"/>
    </w:pPr>
    <w:rPr>
      <w:rFonts w:asciiTheme="minorHAnsi" w:hAnsiTheme="minorHAnsi"/>
      <w:sz w:val="20"/>
      <w:szCs w:val="20"/>
    </w:rPr>
  </w:style>
  <w:style w:type="paragraph" w:styleId="TOC6">
    <w:name w:val="toc 6"/>
    <w:basedOn w:val="Normal"/>
    <w:pPr>
      <w:ind w:left="1100"/>
    </w:pPr>
    <w:rPr>
      <w:rFonts w:asciiTheme="minorHAnsi" w:hAnsiTheme="minorHAnsi"/>
      <w:sz w:val="20"/>
      <w:szCs w:val="20"/>
    </w:rPr>
  </w:style>
  <w:style w:type="paragraph" w:styleId="TOC7">
    <w:name w:val="toc 7"/>
    <w:basedOn w:val="Normal"/>
    <w:pPr>
      <w:ind w:left="1320"/>
    </w:pPr>
    <w:rPr>
      <w:rFonts w:asciiTheme="minorHAnsi" w:hAnsiTheme="minorHAnsi"/>
      <w:sz w:val="20"/>
      <w:szCs w:val="20"/>
    </w:rPr>
  </w:style>
  <w:style w:type="paragraph" w:styleId="TOC8">
    <w:name w:val="toc 8"/>
    <w:basedOn w:val="Normal"/>
    <w:pPr>
      <w:ind w:left="1540"/>
    </w:pPr>
    <w:rPr>
      <w:rFonts w:asciiTheme="minorHAnsi" w:hAnsiTheme="minorHAnsi"/>
      <w:sz w:val="20"/>
      <w:szCs w:val="20"/>
    </w:rPr>
  </w:style>
  <w:style w:type="paragraph" w:styleId="TOC9">
    <w:name w:val="toc 9"/>
    <w:basedOn w:val="Normal"/>
    <w:pPr>
      <w:ind w:left="1760"/>
    </w:pPr>
    <w:rPr>
      <w:rFonts w:asciiTheme="minorHAnsi" w:hAnsiTheme="minorHAnsi"/>
      <w:sz w:val="20"/>
      <w:szCs w:val="20"/>
    </w:rPr>
  </w:style>
  <w:style w:type="paragraph" w:styleId="Header">
    <w:name w:val="header"/>
    <w:basedOn w:val="Normal"/>
    <w:link w:val="HeaderChar"/>
    <w:pPr>
      <w:tabs>
        <w:tab w:val="center" w:leader="none" w:pos="4680"/>
        <w:tab w:val="right" w:leader="none" w:pos="9360"/>
      </w:tabs>
    </w:pPr>
    <w:rPr/>
  </w:style>
  <w:style w:type="character" w:styleId="HeaderChar">
    <w:name w:val="Header Char"/>
    <w:basedOn w:val="DefaultParagraphFont"/>
    <w:link w:val="Header"/>
    <w:pPr/>
    <w:rPr>
      <w:rFonts w:ascii="Lato" w:hAnsi="Lato" w:eastAsia="Lato" w:cs="Lato"/>
    </w:rPr>
  </w:style>
  <w:style w:type="paragraph" w:styleId="Footer">
    <w:name w:val="footer"/>
    <w:basedOn w:val="Normal"/>
    <w:link w:val="FooterChar"/>
    <w:pPr>
      <w:tabs>
        <w:tab w:val="center" w:leader="none" w:pos="4680"/>
        <w:tab w:val="right" w:leader="none" w:pos="9360"/>
      </w:tabs>
    </w:pPr>
    <w:rPr/>
  </w:style>
  <w:style w:type="character" w:styleId="FooterChar">
    <w:name w:val="Footer Char"/>
    <w:basedOn w:val="DefaultParagraphFont"/>
    <w:link w:val="Footer"/>
    <w:pPr/>
    <w:rPr>
      <w:rFonts w:ascii="Lato" w:hAnsi="Lato" w:eastAsia="Lato" w:cs="Lato"/>
    </w:rPr>
  </w:style>
  <w:style w:type="paragraph" w:styleId="PageHeading">
    <w:name w:val="Page Heading"/>
    <w:basedOn w:val="Normal"/>
    <w:pPr>
      <w:pageBreakBefore w:val="on"/>
      <w:spacing w:before="20"/>
      <w:ind w:left="23"/>
    </w:pPr>
    <w:rPr>
      <w:rFonts w:ascii="Calibri" w:hAnsi="Calibri"/>
      <w:color w:val="524FA1"/>
      <w:spacing w:val="-8"/>
      <w:sz w:val="56"/>
    </w:rPr>
  </w:style>
  <w:style w:type="character" w:styleId="BodyTextChar">
    <w:name w:val="Body Text Char"/>
    <w:basedOn w:val="DefaultParagraphFont"/>
    <w:link w:val="BodyText"/>
    <w:pPr/>
    <w:rPr>
      <w:rFonts w:ascii="Lato" w:hAnsi="Lato" w:eastAsia="Lato" w:cs="Lato"/>
      <w:b w:val="on"/>
      <w:bCs/>
      <w:sz w:val="20"/>
      <w:szCs w:val="20"/>
    </w:rPr>
  </w:style>
  <w:style w:type="paragraph" w:styleId="BalloonText">
    <w:name w:val="Balloon Text"/>
    <w:basedOn w:val="Normal"/>
    <w:link w:val="BalloonTextChar"/>
    <w:pPr/>
    <w:rPr>
      <w:rFonts w:ascii="Tahoma" w:hAnsi="Tahoma" w:cs="Tahoma"/>
      <w:sz w:val="16"/>
      <w:szCs w:val="16"/>
    </w:rPr>
  </w:style>
  <w:style w:type="character" w:styleId="BalloonTextChar">
    <w:name w:val="Balloon Text Char"/>
    <w:basedOn w:val="DefaultParagraphFont"/>
    <w:link w:val="BalloonText"/>
    <w:pPr/>
    <w:rPr>
      <w:rFonts w:ascii="Tahoma" w:hAnsi="Tahoma" w:eastAsia="Lato" w:cs="Tahoma"/>
      <w:sz w:val="16"/>
      <w:szCs w:val="16"/>
    </w:rPr>
  </w:style>
  <w:style w:type="character" w:styleId="Heading2Char">
    <w:name w:val="Heading 2 Char"/>
    <w:basedOn w:val="DefaultParagraphFont"/>
    <w:link w:val="Heading2"/>
    <w:pPr/>
    <w:rPr>
      <w:rFonts w:asciiTheme="majorHAnsi" w:hAnsiTheme="majorHAnsi" w:cstheme="majorBidi" w:eastAsiaTheme="majorEastAsia"/>
      <w:b w:val="on"/>
      <w:bCs/>
      <w:color w:val="53529F" w:themeColor="accent1"/>
      <w:sz w:val="26"/>
      <w:szCs w:val="26"/>
    </w:rPr>
  </w:style>
  <w:style w:type="character" w:styleId="Heading3Char">
    <w:name w:val="Heading 3 Char"/>
    <w:basedOn w:val="DefaultParagraphFont"/>
    <w:link w:val="Heading3"/>
    <w:pPr/>
    <w:rPr>
      <w:rFonts w:asciiTheme="majorHAnsi" w:hAnsiTheme="majorHAnsi" w:cstheme="majorBidi" w:eastAsiaTheme="majorEastAsia"/>
      <w:b w:val="on"/>
      <w:bCs/>
      <w:color w:val="53529F" w:themeColor="accent1"/>
    </w:rPr>
  </w:style>
  <w:style w:type="table" w:styleId="TableGrid1">
    <w:name w:val="Table Grid1"/>
    <w:basedOn w:val="TableNormal"/>
    <w:pPr>
      <w:widowControl w:val="o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s>
</file>

<file path=word/_rels/document.xml.rels><?xml version='1.0' encoding='UTF-8'?><Relationships xmlns="http://schemas.openxmlformats.org/package/2006/relationships"><Relationship Id="rId4"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styles" Target="styles.xml"/><Relationship Id="rId7" Type="http://schemas.openxmlformats.org/officeDocument/2006/relationships/numbering" Target="numbering.xml"/><Relationship Id="rId11" Type="http://schemas.openxmlformats.org/officeDocument/2006/relationships/theme" Target="theme/theme1.xml"/><Relationship Id="rId12" Type="http://schemas.openxmlformats.org/officeDocument/2006/relationships/footnotes" Target="footnotes.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header" Target="header5.xml"/><Relationship Id="rId21" Type="http://schemas.openxmlformats.org/officeDocument/2006/relationships/header" Target="header6.xml"/><Relationship Id="rId22" Type="http://schemas.openxmlformats.org/officeDocument/2006/relationships/header" Target="header7.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23" Type="http://schemas.openxmlformats.org/officeDocument/2006/relationships/chart" Target="charts/chart1.xml"/><Relationship Id="rId24" Type="http://schemas.openxmlformats.org/officeDocument/2006/relationships/chart" Target="charts/chart2.xml"/></Relationships>
</file>

<file path=word/_rels/footer1.xml.rels><?xml version='1.0' encoding='UTF-8'?><Relationships xmlns="http://schemas.openxmlformats.org/package/2006/relationships"><Relationship Id="rId1" Type="http://schemas.openxmlformats.org/officeDocument/2006/relationships/image" Target="media/Image_4.jpeg"/></Relationships>
</file>

<file path=word/_rels/footnotes.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1.xml.rels><?xml version='1.0' encoding='UTF-8'?><Relationships xmlns="http://schemas.openxmlformats.org/package/2006/relationships"><Relationship Id="rId2" Type="http://schemas.openxmlformats.org/officeDocument/2006/relationships/image" Target="media/image4.jpeg"/></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manualLayout>
          <c:layoutTarget val="inner"/>
          <c:xMode val="edge"/>
          <c:yMode val="edge"/>
          <c:x val="0.16567429211891357"/>
          <c:y val="3.6208052857746087E-2"/>
          <c:w val="0.48627479122597056"/>
          <c:h val="0.9117013173037913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1"/>
              <c:pt idx="0">
                <c:v>High</c:v>
              </c:pt>
            </c:strLit>
          </c:cat>
          <c:val>
            <c:numLit>
              <c:formatCode>General</c:formatCode>
              <c:ptCount val="1"/>
              <c:pt idx="0">
                <c:v>6</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2787791562924786"/>
          <c:y val="0.36316272622065815"/>
          <c:w val="0.17397578177096903"/>
          <c:h val="0.28521945403512255"/>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433460917011775"/>
          <c:y val="4.1504177119815862E-2"/>
          <c:w val="0.47711523606249095"/>
          <c:h val="0.9064436937496377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5"/>
              <c:pt idx="0">
                <c:v>RSCMO</c:v>
              </c:pt>
              <c:pt idx="1">
                <c:v>County Coordinators</c:v>
              </c:pt>
              <c:pt idx="2">
                <c:v>HOR/RFO</c:v>
              </c:pt>
              <c:pt idx="3">
                <c:v>County Coordinator</c:v>
              </c:pt>
              <c:pt idx="4">
                <c:v>HOR</c:v>
              </c:pt>
            </c:strLit>
          </c:cat>
          <c:val>
            <c:numLit>
              <c:formatCode>General</c:formatCode>
              <c:ptCount val="5"/>
              <c:pt idx="0">
                <c:v>1</c:v>
              </c:pt>
              <c:pt idx="1">
                <c:v>1</c:v>
              </c:pt>
              <c:pt idx="2">
                <c:v>2</c:v>
              </c:pt>
              <c:pt idx="3">
                <c:v>1</c:v>
              </c:pt>
              <c:pt idx="4">
                <c:v>1</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0428324609691384"/>
          <c:y val="0.20949311541104682"/>
          <c:w val="0.2320735126041997"/>
          <c:h val="0.57043890807024511"/>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theme/theme1.xml><?xml version="1.0" encoding="utf-8"?>
<a:theme xmlns:a="http://schemas.openxmlformats.org/drawingml/2006/main" name="Office Theme">
  <a:themeElements>
    <a:clrScheme name="Custom 6">
      <a:dk1>
        <a:srgbClr val="070F13"/>
      </a:dk1>
      <a:lt1>
        <a:srgbClr val="FFFFFF"/>
      </a:lt1>
      <a:dk2>
        <a:srgbClr val="4A478A"/>
      </a:dk2>
      <a:lt2>
        <a:srgbClr val="E0E6E4"/>
      </a:lt2>
      <a:accent1>
        <a:srgbClr val="53529F"/>
      </a:accent1>
      <a:accent2>
        <a:srgbClr val="D1CBC2"/>
      </a:accent2>
      <a:accent3>
        <a:srgbClr val="2B82BF"/>
      </a:accent3>
      <a:accent4>
        <a:srgbClr val="EABA51"/>
      </a:accent4>
      <a:accent5>
        <a:srgbClr val="B9668F"/>
      </a:accent5>
      <a:accent6>
        <a:srgbClr val="7EC0CC"/>
      </a:accent6>
      <a:hlink>
        <a:srgbClr val="393478"/>
      </a:hlink>
      <a:folHlink>
        <a:srgbClr val="6B629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Pages>25</Pages>
  <Application>Microsoft Office Word</Application>
  <Company>Standard Server Engine - 2 cores (java)   5 x standard, 5 x warm f/o</Company>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ACL Services Ltd.</dc:creator>
  <dcterms:created xsi:type="dcterms:W3CDTF">2026-04-02T08:52:00Z</dcterms:created>
  <dcterms:modified xsi:type="dcterms:W3CDTF">2026-04-02T08:52:00Z</dcterms:modified>
</cp:coreProperties>
</file>