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docx" ContentType="application/vnd.openxmlformats-officedocument.wordprocessingml.document"/>
  <Default Extension="xlsx" ContentType="application/vnd.openxmlformats-officedocument.spreadsheetml.sheet"/>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Generated by Windward Reports version 15.34.0.90 (java), jvm: 1.8. os: Linux, osver: 5.10.248-247.988.amzn2.x86_64-->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body>
    <w:tbl>
      <w:tblPr>
        <w:tblStyle w:val="TableGrid"/>
        <w:tblW w:w="499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ff" w:lastRow="off" w:firstColumn="off" w:lastColumn="off" w:noHBand="on" w:noVBand="on"/>
      </w:tblPr>
      <w:tblGrid>
        <w:gridCol w:w="14391"/>
      </w:tblGrid>
      <w:tr>
        <w:trPr>
          <w:trHeight w:val="5669" w:hRule="atLeast"/>
        </w:trPr>
        <w:tc>
          <w:tcPr>
            <w:tcW w:w="5000" w:type="pct"/>
            <w:shd w:val="clear" w:color="auto" w:fill="auto"/>
            <w:vAlign w:val="bottom"/>
          </w:tcPr>
          <w:p>
            <w:pPr>
              <w:pStyle w:val="PageHeading"/>
              <w:rPr>
                <w:color w:val="FFFFFF" w:themeColor="background1"/>
                <w:sz w:val="90"/>
                <w:szCs w:val="90"/>
              </w:rPr>
            </w:pPr>
            <w:bookmarkStart w:id="0" w:name="_Toc1430264678"/>
            <w:r>
              <w:rPr>
                <w:color w:val="FFFFFF" w:themeColor="background1"/>
                <w:sz w:val="90"/>
                <w:szCs w:val="90"/>
              </w:rPr>
              <w:t xml:space="preserve">KRCS North Rift Region Spot check review 2 Report</w:t>
            </w:r>
            <w:bookmarkEnd w:id="0"/>
          </w:p>
          <w:p>
            <w:pPr>
              <w:rPr/>
            </w:pPr>
          </w:p>
        </w:tc>
      </w:tr>
      <w:tr>
        <w:trPr>
          <w:trHeight w:val="2835" w:hRule="atLeast"/>
        </w:trPr>
        <w:tc>
          <w:tcPr>
            <w:tcW w:w="5000" w:type="pct"/>
            <w:shd w:val="clear" w:color="auto" w:fill="FFFFFF" w:themeFill="background1"/>
            <w:vAlign w:val="center"/>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firstRow="off" w:lastRow="off" w:firstColumn="off" w:lastColumn="off" w:noHBand="on" w:noVBand="on"/>
            </w:tblPr>
            <w:tblGrid>
              <w:gridCol w:w="4484"/>
              <w:gridCol w:w="4756"/>
              <w:gridCol w:w="4935"/>
            </w:tblGrid>
            <w:tr>
              <w:trPr>
                <w:cantSplit w:val="on"/>
                <w:trHeight w:val="1147" w:hRule="atLeast"/>
              </w:trPr>
              <w:tc>
                <w:tcPr>
                  <w:tcW w:w="1582" w:type="pct"/>
                  <w:vAlign w:val="center"/>
                </w:tcPr>
                <w:p>
                  <w:pPr>
                    <w:jc w:val="center"/>
                    <w:rPr/>
                  </w:pPr>
                  <w:r>
                    <w:drawing>
                      <wp:inline distT="0" distB="0" distL="0" distR="0">
                        <wp:extent cx="725170" cy="725170"/>
                        <wp:effectExtent l="0" t="0" r="11430" b="11430"/>
                        <wp:docPr id="4" name="OpinionPencil.png" descr="OpinionPencil.png"/>
                        <a:graphic xmlns:a="http://schemas.openxmlformats.org/drawingml/2006/main">
                          <a:graphicData uri="http://schemas.openxmlformats.org/drawingml/2006/picture">
                            <pic:pic xmlns:pic="http://schemas.openxmlformats.org/drawingml/2006/picture">
                              <pic:nvPicPr>
                                <pic:cNvPr id="1" name="OpinionPencil.png"/>
                                <pic:cNvPicPr/>
                              </pic:nvPicPr>
                              <pic:blipFill>
                                <a:blip r:embed="rId1"/>
                                <a:stretch>
                                  <a:fillRect/>
                                </a:stretch>
                              </pic:blipFill>
                              <pic:spPr xmlns:pic="http://schemas.openxmlformats.org/drawingml/2006/picture">
                                <a:xfrm xmlns:a="http://schemas.openxmlformats.org/drawingml/2006/main">
                                  <a:off x="0" y="0"/>
                                  <a:ext cx="725170" cy="725170"/>
                                </a:xfrm>
                                <a:prstGeom xmlns:a="http://schemas.openxmlformats.org/drawingml/2006/main" prst="rect">
                                  <a:avLst/>
                                </a:prstGeom>
                              </pic:spPr>
                            </pic:pic>
                          </a:graphicData>
                        </a:graphic>
                      </wp:inline>
                    </w:drawing>
                  </w:r>
                </w:p>
              </w:tc>
              <w:tc>
                <w:tcPr>
                  <w:tcW w:w="1678" w:type="pct"/>
                  <w:vAlign w:val="center"/>
                </w:tcPr>
                <w:p>
                  <w:pPr>
                    <w:jc w:val="center"/>
                    <w:rPr/>
                  </w:pPr>
                  <w:r>
                    <w:drawing>
                      <wp:inline distT="0" distB="0" distL="0" distR="0">
                        <wp:extent cx="719455" cy="725170"/>
                        <wp:effectExtent l="0" t="0" r="0" b="11430"/>
                        <wp:docPr id="5" name="CalnedarStart.png" descr="CalnedarStart.png"/>
                        <a:graphic xmlns:a="http://schemas.openxmlformats.org/drawingml/2006/main">
                          <a:graphicData uri="http://schemas.openxmlformats.org/drawingml/2006/picture">
                            <pic:pic xmlns:pic="http://schemas.openxmlformats.org/drawingml/2006/picture">
                              <pic:nvPicPr>
                                <pic:cNvPr id="2" name="CalnedarStart.png"/>
                                <pic:cNvPicPr/>
                              </pic:nvPicPr>
                              <pic:blipFill>
                                <a:blip r:embed="rId2"/>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c>
                <w:tcPr>
                  <w:tcW w:w="1741" w:type="pct"/>
                  <w:vAlign w:val="center"/>
                </w:tcPr>
                <w:p>
                  <w:pPr>
                    <w:jc w:val="center"/>
                    <w:rPr/>
                  </w:pPr>
                  <w:r>
                    <w:drawing>
                      <wp:inline distT="0" distB="0" distL="0" distR="0">
                        <wp:extent cx="719455" cy="725170"/>
                        <wp:effectExtent l="0" t="0" r="0" b="11430"/>
                        <wp:docPr id="6" name="CalendarEnd.png" descr="CalendarEnd.png"/>
                        <a:graphic xmlns:a="http://schemas.openxmlformats.org/drawingml/2006/main">
                          <a:graphicData uri="http://schemas.openxmlformats.org/drawingml/2006/picture">
                            <pic:pic xmlns:pic="http://schemas.openxmlformats.org/drawingml/2006/picture">
                              <pic:nvPicPr>
                                <pic:cNvPr id="3" name="CalendarEnd.png"/>
                                <pic:cNvPicPr/>
                              </pic:nvPicPr>
                              <pic:blipFill>
                                <a:blip r:embed="rId3"/>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r>
            <w:tr>
              <w:trPr>
                <w:cantSplit w:val="on"/>
                <w:trHeight w:val="467" w:hRule="atLeast"/>
              </w:trPr>
              <w:tc>
                <w:tcPr>
                  <w:tcW w:w="1582" w:type="pct"/>
                  <w:tcBorders>
                    <w:bottom w:val="single" w:sz="6" w:space="0" w:color="B2BCF6"/>
                  </w:tcBorders>
                </w:tcPr>
                <w:p>
                  <w:pPr>
                    <w:pStyle w:val="TableParagraph"/>
                    <w:spacing w:before="120" w:after="120"/>
                    <w:jc w:val="center"/>
                    <w:rPr>
                      <w:rFonts w:ascii="Calibri" w:hAnsi="Calibri"/>
                      <w:b w:val="on"/>
                      <w:color w:val="53529F"/>
                      <w:sz w:val="24"/>
                      <w:szCs w:val="24"/>
                    </w:rPr>
                  </w:pPr>
                  <w:r>
                    <w:rPr>
                      <w:rFonts w:ascii="Calibri" w:hAnsi="Calibri"/>
                      <w:b w:val="on"/>
                      <w:color w:val="53529F"/>
                      <w:sz w:val="24"/>
                      <w:szCs w:val="24"/>
                    </w:rPr>
                    <w:t xml:space="preserve">Conclusion/Rating</w:t>
                  </w:r>
                </w:p>
              </w:tc>
              <w:tc>
                <w:tcPr>
                  <w:tcW w:w="1678" w:type="pct"/>
                  <w:tcBorders>
                    <w:bottom w:val="single" w:sz="6" w:space="0" w:color="B2BCF6"/>
                  </w:tcBorders>
                </w:tcPr>
                <w:p>
                  <w:pPr>
                    <w:pStyle w:val="TableParagraph"/>
                    <w:tabs>
                      <w:tab w:val="decimal" w:leader="none" w:pos="2493"/>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Fieldwork Start Date</w:t>
                  </w:r>
                </w:p>
              </w:tc>
              <w:tc>
                <w:tcPr>
                  <w:tcW w:w="1741" w:type="pct"/>
                  <w:tcBorders>
                    <w:bottom w:val="single" w:sz="6" w:space="0" w:color="B2BCF6"/>
                  </w:tcBorders>
                </w:tcPr>
                <w:p>
                  <w:pPr>
                    <w:pStyle w:val="TableParagraph"/>
                    <w:tabs>
                      <w:tab w:val="left" w:leader="none" w:pos="4686"/>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Target Completion</w:t>
                  </w:r>
                </w:p>
              </w:tc>
            </w:tr>
            <w:tr>
              <w:trPr>
                <w:cantSplit w:val="on"/>
                <w:trHeight w:val="467" w:hRule="atLeast"/>
              </w:trPr>
              <w:tc>
                <w:tcPr>
                  <w:tcW w:w="1582" w:type="pct"/>
                  <w:tcBorders>
                    <w:top w:val="single" w:sz="6" w:space="0" w:color="B2BCF6"/>
                  </w:tcBorders>
                  <w:vAlign w:val="center"/>
                </w:tcPr>
                <w:p>
                  <w:pPr>
                    <w:pStyle w:val="TableParagraph"/>
                    <w:spacing w:before="120" w:after="120"/>
                    <w:ind w:left="1244" w:right="1176"/>
                    <w:jc w:val="center"/>
                    <w:rPr>
                      <w:rFonts w:ascii="Calibri" w:hAnsi="Calibri"/>
                      <w:color w:val="070F13" w:themeColor="text1"/>
                      <w:sz w:val="24"/>
                      <w:szCs w:val="24"/>
                    </w:rPr>
                  </w:pPr>
                  <w:r>
                    <w:rPr>
                      <w:rFonts w:ascii="Calibri" w:hAnsi="Calibri"/>
                      <w:color w:val="070F13" w:themeColor="text1"/>
                      <w:sz w:val="24"/>
                      <w:szCs w:val="24"/>
                    </w:rPr>
                    <w:t xml:space="preserve">Needs Improvement</w:t>
                  </w:r>
                </w:p>
              </w:tc>
              <w:tc>
                <w:tcPr>
                  <w:tcW w:w="1678"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October 13, 2025</w:t>
                  </w:r>
                </w:p>
              </w:tc>
              <w:tc>
                <w:tcPr>
                  <w:tcW w:w="1741"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October 27, 2025</w:t>
                  </w:r>
                </w:p>
              </w:tc>
            </w:tr>
          </w:tbl>
          <w:p>
            <w:pPr>
              <w:jc w:val="center"/>
              <w:rPr/>
            </w:pPr>
          </w:p>
        </w:tc>
      </w:tr>
      <w:tr>
        <w:trPr>
          <w:trHeight w:val="1701" w:hRule="atLeast"/>
        </w:trPr>
        <w:tc>
          <w:tcPr>
            <w:tcW w:w="5000" w:type="pct"/>
          </w:tcPr>
          <w:p>
            <w:pPr>
              <w:rPr/>
            </w:pPr>
          </w:p>
        </w:tc>
      </w:tr>
    </w:tbl>
    <w:p>
      <w:pPr>
        <w:rPr>
          <w:sz w:val="20"/>
        </w:rPr>
        <w:sectPr>
          <w:headerReference w:type="default" r:id="rId13"/>
          <w:headerReference w:type="first" r:id="rId14"/>
          <w:headerReference w:type="even" r:id="rId15"/>
          <w:footerReference w:type="default" r:id="rId16"/>
          <w:footerReference w:type="first" r:id="rId17"/>
          <w:footerReference w:type="even" r:id="rId18"/>
          <w:type w:val="continuous"/>
          <w:pgSz w:w="15840" w:h="12240" w:orient="landscape"/>
          <w:pgMar w:top="720" w:right="720" w:bottom="720" w:left="720" w:header="397" w:footer="397" w:gutter="0"/>
          <w:pgNumType w:start="1"/>
          <w:pgNumType w:start="1"/>
          <w:cols w:space="720"/>
          <w:textDirection w:val="lrTb"/>
          <w:bidi w:val="off"/>
        </w:sectPr>
      </w:pPr>
    </w:p>
    <w:p>
      <w:pPr>
        <w:pStyle w:val="BodyText"/>
        <w:rPr>
          <w:rFonts w:ascii="Times"/>
          <w:b w:val="off"/>
        </w:rPr>
      </w:pPr>
      <w:r>
        <w:drawing>
          <wp:anchor distT="0" distB="0" distL="114300" distR="114300" simplePos="0" relativeHeight="6144" behindDoc="1" layoutInCell="1" allowOverlap="1" locked="0">
            <wp:simplePos x="0" y="0"/>
            <wp:positionH relativeFrom="page">
              <wp:posOffset>485775</wp:posOffset>
            </wp:positionH>
            <wp:positionV relativeFrom="page">
              <wp:posOffset>327660</wp:posOffset>
            </wp:positionV>
            <wp:extent cx="9165590" cy="464185"/>
            <wp:effectExtent l="0" t="0" r="16510" b="12065"/>
            <wp:wrapNone/>
            <wp:docPr id="7" name="Shape 7"/>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16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BodyText"/>
                          <w:rPr>
                            <w:rFonts w:asciiTheme="minorHAnsi" w:hAnsiTheme="minorHAnsi"/>
                            <w:b w:val="off"/>
                            <w:color w:val="53529F"/>
                            <w:sz w:val="56"/>
                            <w:szCs w:val="56"/>
                          </w:rPr>
                        </w:pPr>
                        <w:r>
                          <w:rPr>
                            <w:rFonts w:asciiTheme="minorHAnsi" w:hAnsiTheme="minorHAnsi"/>
                            <w:b w:val="off"/>
                            <w:color w:val="53529F"/>
                            <w:sz w:val="56"/>
                            <w:szCs w:val="56"/>
                          </w:rPr>
                          <w:t xml:space="preserve">Table of Contents</w:t>
                        </w:r>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1264" behindDoc="0" layoutInCell="1" allowOverlap="1" locked="0">
                <wp:simplePos x="0" y="0"/>
                <wp:positionH relativeFrom="page">
                  <wp:posOffset>457200</wp:posOffset>
                </wp:positionH>
                <wp:positionV relativeFrom="page">
                  <wp:posOffset>267335</wp:posOffset>
                </wp:positionV>
                <wp:extent cx="9117330" cy="572135"/>
                <wp:effectExtent l="0" t="0" r="7620" b="19050"/>
                <wp:wrapNone/>
                <wp:docPr id="8" name="Group 8"/>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7584" cy="572082"/>
                          <a:chOff x="2144" y="360"/>
                          <a:chExt cx="11536" cy="1138"/>
                        </a:xfrm>
                      </wpg:grpSpPr>
                      <wps:wsp>
                        <wps:cNvPr xmlns:wps="http://schemas.microsoft.com/office/word/2010/wordprocessingShape" id="11"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12"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291DCE90" id="Group 10" o:spid="_x0000_s1026" style="position:absolute;margin-left:36pt;margin-top:21.05pt;width:717.9pt;height:45.05pt;z-index:251702272;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1sttMAAAADbAAAADwAAAGRycy9kb3ducmV2LnhtbERPTYvCMBC9C/sfwix409Q9iHaNIksL&#10;3sSqu3scmrGtNpPSRFv/vREEb/N4n7NY9aYWN2pdZVnBZByBIM6trrhQcNinoxkI55E11pZJwZ0c&#10;rJYfgwXG2na8o1vmCxFC2MWooPS+iaV0eUkG3dg2xIE72dagD7AtpG6xC+Gmll9RNJUGKw4NJTb0&#10;U1J+ya5Gwfn3uOu2Sdp3d5Mm/wn9ZfMtKzX87NffIDz1/i1+uTc6zJ/A85dwgFw+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9bLbTAAAAA2wAAAA8AAAAAAAAAAAAAAAAA&#10;oQIAAGRycy9kb3ducmV2LnhtbFBLBQYAAAAABAAEAPkAAACO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39R/8EAAADbAAAADwAAAGRycy9kb3ducmV2LnhtbERPTWvCQBC9F/wPyxS81Y1STRuzEQkU&#10;vEltDx6H7JiEZmdDdmMSf70rFLzN431OuhtNI67UudqyguUiAkFcWF1zqeD35+vtA4TzyBoby6Rg&#10;Ige7bPaSYqLtwN90PflShBB2CSqovG8TKV1RkUG3sC1x4C62M+gD7EqpOxxCuGnkKoo20mDNoaHC&#10;lvKKir9TbxTk07pfcvz53tzON2fPrj7Gfa7U/HXcb0F4Gv1T/O8+6DB/BY9fwgEyu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f1H/wQAAANsAAAAPAAAAAAAAAAAAAAAA&#10;AKECAABkcnMvZG93bnJldi54bWxQSwUGAAAAAAQABAD5AAAAjwMAAAAA&#10;" strokecolor="#53529f" strokeweight="3.6pt"/>
                <w10:wrap xmlns:w10="urn:schemas-microsoft-com:office:word" anchorx="page" anchory="page"/>
              </v:group>
            </w:pict>
          </mc:Fallback>
        </mc:AlternateContent>
      </w:r>
    </w:p>
    <w:p>
      <w:pPr>
        <w:pStyle w:val="TOC1"/>
        <w:rPr/>
      </w:pPr>
    </w:p>
    <w:p>
      <w:pPr>
        <w:rPr/>
      </w:pPr>
    </w:p>
    <w:p>
      <w:pPr>
        <w:rPr/>
      </w:pPr>
      <w:r>
        <w:fldChar w:fldCharType="begin"/>
      </w:r>
      <w:r>
        <w:instrText xml:space="preserve"> TOC \f \t "Page Heading,1" </w:instrText>
      </w:r>
      <w:r>
        <w:fldChar w:fldCharType="separate"/>
      </w:r>
    </w:p>
    <w:p>
      <w:pPr>
        <w:pStyle w:val="TOC1"/>
        <w:spacing w:before="120"/>
        <w:rPr/>
      </w:pPr>
      <w:r>
        <w:rPr>
          <w:rFonts w:asciiTheme="minorHAnsi" w:hAnsiTheme="minorHAnsi"/>
          <w:bCs/>
          <w:color w:val="070F13" w:themeColor="text1"/>
          <w:sz w:val="24"/>
        </w:rPr>
        <w:t xml:space="preserve">Purpose, Background and Scope</w:t>
      </w:r>
      <w:r>
        <w:rPr>
          <w:rFonts w:asciiTheme="minorHAnsi" w:hAnsiTheme="minorHAnsi"/>
          <w:bCs/>
          <w:color w:val="070F13" w:themeColor="text1"/>
          <w:sz w:val="24"/>
        </w:rPr>
        <w:tab/>
      </w:r>
      <w:fldSimple w:instr=" PAGEREF _Toc546039341 ">
        <w:r>
          <w:rPr>
            <w:rFonts w:asciiTheme="minorHAnsi" w:hAnsiTheme="minorHAnsi"/>
            <w:bCs/>
            <w:color w:val="070F13" w:themeColor="text1"/>
            <w:sz w:val="24"/>
          </w:rPr>
          <w:t xml:space="preserve">3</w:t>
        </w:r>
      </w:fldSimple>
    </w:p>
    <w:p>
      <w:pPr>
        <w:pStyle w:val="TOC1"/>
        <w:spacing w:before="120"/>
        <w:rPr/>
      </w:pPr>
      <w:r>
        <w:rPr>
          <w:rFonts w:asciiTheme="minorHAnsi" w:hAnsiTheme="minorHAnsi"/>
          <w:bCs/>
          <w:color w:val="070F13" w:themeColor="text1"/>
          <w:sz w:val="24"/>
        </w:rPr>
        <w:t xml:space="preserve">Results</w:t>
      </w:r>
      <w:r>
        <w:rPr>
          <w:rFonts w:asciiTheme="minorHAnsi" w:hAnsiTheme="minorHAnsi"/>
          <w:bCs/>
          <w:color w:val="070F13" w:themeColor="text1"/>
          <w:sz w:val="24"/>
        </w:rPr>
        <w:tab/>
      </w:r>
      <w:fldSimple w:instr=" PAGEREF _Toc1985117259 ">
        <w:r>
          <w:rPr>
            <w:rFonts w:asciiTheme="minorHAnsi" w:hAnsiTheme="minorHAnsi"/>
            <w:bCs/>
            <w:color w:val="070F13" w:themeColor="text1"/>
            <w:sz w:val="24"/>
          </w:rPr>
          <w:t xml:space="preserve">4</w:t>
        </w:r>
      </w:fldSimple>
    </w:p>
    <w:p>
      <w:pPr>
        <w:pStyle w:val="TOC1"/>
        <w:spacing w:before="120"/>
        <w:rPr/>
      </w:pPr>
      <w:r>
        <w:rPr>
          <w:rFonts w:asciiTheme="minorHAnsi" w:hAnsiTheme="minorHAnsi"/>
          <w:bCs/>
          <w:color w:val="070F13" w:themeColor="text1"/>
          <w:sz w:val="24"/>
        </w:rPr>
        <w:t xml:space="preserve">Results Summary</w:t>
      </w:r>
      <w:r>
        <w:rPr>
          <w:rFonts w:asciiTheme="minorHAnsi" w:hAnsiTheme="minorHAnsi"/>
          <w:bCs/>
          <w:color w:val="070F13" w:themeColor="text1"/>
          <w:sz w:val="24"/>
        </w:rPr>
        <w:tab/>
      </w:r>
      <w:fldSimple w:instr=" PAGEREF _Toc491625988 ">
        <w:r>
          <w:rPr>
            <w:rFonts w:asciiTheme="minorHAnsi" w:hAnsiTheme="minorHAnsi"/>
            <w:bCs/>
            <w:color w:val="070F13" w:themeColor="text1"/>
            <w:sz w:val="24"/>
          </w:rPr>
          <w:t xml:space="preserve">5</w:t>
        </w:r>
      </w:fldSimple>
    </w:p>
    <w:p>
      <w:pPr>
        <w:pStyle w:val="TOC1"/>
        <w:spacing w:before="120"/>
        <w:rPr/>
      </w:pPr>
      <w:r>
        <w:rPr>
          <w:rFonts w:asciiTheme="minorHAnsi" w:hAnsiTheme="minorHAnsi"/>
          <w:bCs/>
          <w:color w:val="070F13" w:themeColor="text1"/>
          <w:sz w:val="24"/>
        </w:rPr>
        <w:t xml:space="preserve">Summary of Issues</w:t>
      </w:r>
      <w:r>
        <w:rPr>
          <w:rFonts w:asciiTheme="minorHAnsi" w:hAnsiTheme="minorHAnsi"/>
          <w:bCs/>
          <w:color w:val="070F13" w:themeColor="text1"/>
          <w:sz w:val="24"/>
        </w:rPr>
        <w:tab/>
      </w:r>
      <w:fldSimple w:instr=" PAGEREF _Toc553638132 ">
        <w:r>
          <w:rPr>
            <w:rFonts w:asciiTheme="minorHAnsi" w:hAnsiTheme="minorHAnsi"/>
            <w:bCs/>
            <w:color w:val="070F13" w:themeColor="text1"/>
            <w:sz w:val="24"/>
          </w:rPr>
          <w:t xml:space="preserve">6</w:t>
        </w:r>
      </w:fldSimple>
    </w:p>
    <w:p>
      <w:pPr>
        <w:pStyle w:val="TOC1"/>
        <w:spacing w:before="120"/>
        <w:rPr/>
      </w:pPr>
      <w:r>
        <w:rPr>
          <w:rFonts w:asciiTheme="minorHAnsi" w:hAnsiTheme="minorHAnsi"/>
          <w:bCs/>
          <w:color w:val="070F13" w:themeColor="text1"/>
          <w:sz w:val="24"/>
        </w:rPr>
        <w:t xml:space="preserve">002 Weaknesses controls around Income</w:t>
      </w:r>
      <w:r>
        <w:rPr>
          <w:rFonts w:asciiTheme="minorHAnsi" w:hAnsiTheme="minorHAnsi"/>
          <w:bCs/>
          <w:color w:val="070F13" w:themeColor="text1"/>
          <w:sz w:val="24"/>
        </w:rPr>
        <w:tab/>
      </w:r>
      <w:fldSimple w:instr=" PAGEREF _Toc1668732914 ">
        <w:r>
          <w:rPr>
            <w:rFonts w:asciiTheme="minorHAnsi" w:hAnsiTheme="minorHAnsi"/>
            <w:bCs/>
            <w:color w:val="070F13" w:themeColor="text1"/>
            <w:sz w:val="24"/>
          </w:rPr>
          <w:t xml:space="preserve">7</w:t>
        </w:r>
      </w:fldSimple>
    </w:p>
    <w:p>
      <w:pPr>
        <w:pStyle w:val="TOC1"/>
        <w:spacing w:before="120"/>
        <w:rPr/>
      </w:pPr>
      <w:r>
        <w:rPr>
          <w:rFonts w:asciiTheme="minorHAnsi" w:hAnsiTheme="minorHAnsi"/>
          <w:bCs/>
          <w:color w:val="070F13" w:themeColor="text1"/>
          <w:sz w:val="24"/>
        </w:rPr>
        <w:t xml:space="preserve">003 Weaknesses in Expenditure Authorisation, Payroll &amp; Supporting Documentation</w:t>
      </w:r>
      <w:r>
        <w:rPr>
          <w:rFonts w:asciiTheme="minorHAnsi" w:hAnsiTheme="minorHAnsi"/>
          <w:bCs/>
          <w:color w:val="070F13" w:themeColor="text1"/>
          <w:sz w:val="24"/>
        </w:rPr>
        <w:tab/>
      </w:r>
      <w:fldSimple w:instr=" PAGEREF _Toc1033940377 ">
        <w:r>
          <w:rPr>
            <w:rFonts w:asciiTheme="minorHAnsi" w:hAnsiTheme="minorHAnsi"/>
            <w:bCs/>
            <w:color w:val="070F13" w:themeColor="text1"/>
            <w:sz w:val="24"/>
          </w:rPr>
          <w:t xml:space="preserve">10</w:t>
        </w:r>
      </w:fldSimple>
    </w:p>
    <w:p>
      <w:pPr>
        <w:pStyle w:val="TOC1"/>
        <w:spacing w:before="120"/>
        <w:rPr/>
      </w:pPr>
      <w:r>
        <w:rPr>
          <w:rFonts w:asciiTheme="minorHAnsi" w:hAnsiTheme="minorHAnsi"/>
          <w:bCs/>
          <w:color w:val="070F13" w:themeColor="text1"/>
          <w:sz w:val="24"/>
        </w:rPr>
        <w:t xml:space="preserve">004 Persistent Partial Remediation of Prior Audit Findings → Elevated Financial, Compliance and Governance Risk in North Rift Region</w:t>
      </w:r>
      <w:r>
        <w:rPr>
          <w:rFonts w:asciiTheme="minorHAnsi" w:hAnsiTheme="minorHAnsi"/>
          <w:bCs/>
          <w:color w:val="070F13" w:themeColor="text1"/>
          <w:sz w:val="24"/>
        </w:rPr>
        <w:tab/>
      </w:r>
      <w:fldSimple w:instr=" PAGEREF _Toc1393945541 ">
        <w:r>
          <w:rPr>
            <w:rFonts w:asciiTheme="minorHAnsi" w:hAnsiTheme="minorHAnsi"/>
            <w:bCs/>
            <w:color w:val="070F13" w:themeColor="text1"/>
            <w:sz w:val="24"/>
          </w:rPr>
          <w:t xml:space="preserve">13</w:t>
        </w:r>
      </w:fldSimple>
      <w:r>
        <w:fldChar w:fldCharType="end"/>
      </w:r>
    </w:p>
    <w:p>
      <w:pPr>
        <w:pStyle w:val="BodyText"/>
        <w:tabs>
          <w:tab w:val="right" w:leader="none" w:pos="12474"/>
        </w:tabs>
        <w:spacing w:before="240"/>
        <w:ind w:firstLine="2127"/>
        <w:rPr>
          <w:rFonts w:asciiTheme="minorHAnsi" w:hAnsiTheme="minorHAnsi"/>
          <w:b w:val="off"/>
          <w:color w:val="4A478A" w:themeColor="text2"/>
          <w:sz w:val="27"/>
        </w:rPr>
        <w:sectPr>
          <w:headerReference w:type="default" r:id="rId19"/>
          <w:type w:val="nextPage"/>
          <w:pgSz w:w="15840" w:h="12240" w:orient="landscape"/>
          <w:pgMar w:top="720" w:right="720" w:bottom="720" w:left="720" w:header="397" w:footer="397" w:gutter="0"/>
          <w:cols w:space="720"/>
          <w:textDirection w:val="lrTb"/>
          <w:bidi w:val="off"/>
        </w:sectPr>
      </w:pPr>
    </w:p>
    <w:p>
      <w:pPr>
        <w:pStyle w:val="BodyText"/>
        <w:rPr>
          <w:rFonts w:ascii="Times"/>
          <w:b w:val="off"/>
        </w:rPr>
      </w:pPr>
      <w:r>
        <w:drawing>
          <wp:anchor distT="0" distB="0" distL="114300" distR="114300" simplePos="0" relativeHeight="5120" behindDoc="1" layoutInCell="1" allowOverlap="1" locked="0">
            <wp:simplePos x="0" y="0"/>
            <wp:positionH relativeFrom="page">
              <wp:posOffset>484505</wp:posOffset>
            </wp:positionH>
            <wp:positionV relativeFrom="page">
              <wp:posOffset>327660</wp:posOffset>
            </wp:positionV>
            <wp:extent cx="8985886" cy="464185"/>
            <wp:effectExtent l="0" t="0" r="6350" b="12065"/>
            <wp:wrapNone/>
            <wp:docPr id="9" name="Shape 9"/>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1" w:name="_Toc546039341"/>
                        <w:r>
                          <w:rPr>
                            <w:color w:val="53529F"/>
                          </w:rPr>
                          <w:t xml:space="preserve">Purpose, Background and Scope</w:t>
                        </w:r>
                        <w:bookmarkEnd w:id="1"/>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0240" behindDoc="0" layoutInCell="1" allowOverlap="1" locked="0">
                <wp:simplePos x="0" y="0"/>
                <wp:positionH relativeFrom="page">
                  <wp:posOffset>459105</wp:posOffset>
                </wp:positionH>
                <wp:positionV relativeFrom="page">
                  <wp:posOffset>267335</wp:posOffset>
                </wp:positionV>
                <wp:extent cx="9119870" cy="574675"/>
                <wp:effectExtent l="0" t="0" r="5715" b="15875"/>
                <wp:wrapNone/>
                <wp:docPr id="10" name="Group 10"/>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6A59AE62" id="Group 3" o:spid="_x0000_s1026" style="position:absolute;margin-left:36.15pt;margin-top:21.05pt;width:718.1pt;height:45.25pt;z-index:251700224;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ApnygIAAFc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KkTMMAAADaAAAADwAAAGRycy9kb3ducmV2LnhtbESPQWvCQBSE74L/YXlCb83GIqWNrkEk&#10;AW9ialuPj+xrkpp9G7LbJP77bqHgcZiZb5hNOplWDNS7xrKCZRSDIC6tbrhScH7LH19AOI+ssbVM&#10;Cm7kIN3OZxtMtB35REPhKxEg7BJUUHvfJVK6siaDLrIdcfC+bG/QB9lXUvc4Brhp5VMcP0uDDYeF&#10;Gjva11Reix+j4Pvj/TQes3wabybPLhl9Fq9HVuphMe3WIDxN/h7+bx+0ghX8XQk3QG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qSpEzDAAAA2g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sTNsIAAADaAAAADwAAAGRycy9kb3ducmV2LnhtbESPQWvCQBSE7wX/w/IK3urGYpo2uooE&#10;Ct7EtAePj+wzCc2+DdmNJvn1riD0OMzMN8xmN5hGXKlztWUFy0UEgriwuuZSwe/P99snCOeRNTaW&#10;ScFIDnbb2csGU21vfKJr7ksRIOxSVFB536ZSuqIig25hW+LgXWxn0AfZlVJ3eAtw08j3KPqQBmsO&#10;CxW2lFVU/OW9UZCNcb/k5GvVTOfJ2bOrj0mfKTV/HfZrEJ4G/x9+tg9aQQyPK+EGyO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YsTNsIAAADaAAAADwAAAAAAAAAAAAAA&#10;AAChAgAAZHJzL2Rvd25yZXYueG1sUEsFBgAAAAAEAAQA+QAAAJADA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Purpose</w:t>
            </w:r>
          </w:p>
        </w:tc>
      </w:tr>
    </w:tbl>
    <w:p>
      <w:pPr>
        <w:rPr>
          <w:rFonts w:ascii="Calibri" w:hAnsi="Calibri"/>
          <w:color w:val="070F13" w:themeColor="text1"/>
          <w:sz w:val="24"/>
          <w:szCs w:val="24"/>
        </w:rPr>
      </w:pPr>
    </w:p>
    <w:p>
      <w:pPr>
        <w:rPr>
          <w:sz w:val="20"/>
        </w:rPr>
      </w:pPr>
      <w:r>
        <w:rPr>
          <w:rFonts w:ascii="Calibri" w:hAnsi="Calibri"/>
          <w:color w:val="070F13" w:themeColor="text1"/>
          <w:sz w:val="24"/>
          <w:szCs w:val="24"/>
        </w:rPr>
        <w:t xml:space="preserve">Specific objectives for the review are </w:t>
      </w:r>
    </w:p>
    <w:p>
      <w:pPr>
        <w:numPr>
          <w:ilvl w:val="0"/>
          <w:numId w:val="1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Review the oversight role of governance. </w:t>
      </w:r>
    </w:p>
    <w:p>
      <w:pPr>
        <w:numPr>
          <w:ilvl w:val="0"/>
          <w:numId w:val="1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Assess risk management practices in the branches </w:t>
      </w:r>
    </w:p>
    <w:p>
      <w:pPr>
        <w:numPr>
          <w:ilvl w:val="0"/>
          <w:numId w:val="1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Assess the effectiveness of Internal controls over incomes and expenditure </w:t>
      </w:r>
    </w:p>
    <w:p>
      <w:pPr>
        <w:numPr>
          <w:ilvl w:val="0"/>
          <w:numId w:val="1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Review asset management </w:t>
      </w:r>
    </w:p>
    <w:p>
      <w:pPr>
        <w:numPr>
          <w:ilvl w:val="0"/>
          <w:numId w:val="1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To review Human Resource management </w:t>
      </w:r>
    </w:p>
    <w:p>
      <w:pPr>
        <w:numPr>
          <w:ilvl w:val="0"/>
          <w:numId w:val="1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Review volunteer management </w:t>
      </w:r>
    </w:p>
    <w:p>
      <w:pPr>
        <w:numPr>
          <w:ilvl w:val="0"/>
          <w:numId w:val="12"/>
        </w:numPr>
        <w:ind w:left="720" w:right="0" w:hanging="360"/>
        <w:contextualSpacing/>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Follow-up of outstanding recommendations from previous audits and spot-check reviews </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Background</w:t>
            </w:r>
          </w:p>
        </w:tc>
      </w:tr>
    </w:tbl>
    <w:p>
      <w:pPr>
        <w:rPr>
          <w:rFonts w:ascii="Calibri" w:hAnsi="Calibri"/>
          <w:color w:val="070F13" w:themeColor="text1"/>
          <w:sz w:val="24"/>
          <w:szCs w:val="24"/>
        </w:rPr>
      </w:pPr>
    </w:p>
    <w:p>
      <w:pPr>
        <w:rPr>
          <w:sz w:val="20"/>
        </w:rPr>
      </w:pPr>
      <w:r>
        <w:rPr>
          <w:rFonts w:ascii="Calibri" w:hAnsi="Calibri"/>
          <w:color w:val="070F13" w:themeColor="text1"/>
          <w:sz w:val="24"/>
          <w:szCs w:val="24"/>
        </w:rPr>
        <w:t xml:space="preserve">Internal Audit &amp; Risk Management’s mandate is to provide independent assurance on the effectiveness of branch-level governance, risk management, and internal control across the Society.</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At management’s request—outside the originally approved 2025 audit plan—the department carried out a second round of focused spot-check reviews of North Rift Region Branches (Uasin Gishu, Nandi, Elgeyo Marakwet, Trans Nzoia, West Pokot, and Turkana) to confirm that key controls are functioning as intended and remain aligned with the Society’s policies and objectives.</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Scope</w:t>
            </w:r>
          </w:p>
        </w:tc>
      </w:tr>
    </w:tbl>
    <w:p>
      <w:pPr>
        <w:rPr>
          <w:rFonts w:ascii="Calibri" w:hAnsi="Calibri"/>
          <w:color w:val="070F13" w:themeColor="text1"/>
          <w:sz w:val="24"/>
          <w:szCs w:val="24"/>
        </w:rPr>
      </w:pPr>
    </w:p>
    <w:p>
      <w:pPr>
        <w:rPr>
          <w:sz w:val="20"/>
        </w:rPr>
        <w:sectPr>
          <w:headerReference w:type="default" r:id="rId20"/>
          <w:type w:val="nextPage"/>
          <w:pgSz w:w="15840" w:h="12240" w:orient="landscape"/>
          <w:pgMar w:top="720" w:right="720" w:bottom="720" w:left="720" w:header="397" w:footer="397" w:gutter="0"/>
          <w:cols w:space="720"/>
          <w:textDirection w:val="lrTb"/>
          <w:bidi w:val="off"/>
        </w:sectPr>
      </w:pPr>
      <w:r>
        <w:rPr>
          <w:rFonts w:ascii="Calibri" w:hAnsi="Calibri"/>
          <w:color w:val="070F13" w:themeColor="text1"/>
          <w:sz w:val="24"/>
          <w:szCs w:val="24"/>
        </w:rPr>
        <w:t xml:space="preserve">The scope of the audit covers all activities undertaken in the North Rift Region Branches (Uasin Gishu, Nandi, Elgeyo Marakwet, Trans Nzoia, West Pokot, and Turkana) from June 2025 to September 2025.</w:t>
      </w:r>
    </w:p>
    <w:p>
      <w:pPr>
        <w:pStyle w:val="BodyText"/>
        <w:rPr>
          <w:rFonts w:ascii="Times"/>
          <w:b w:val="off"/>
        </w:rPr>
      </w:pPr>
      <w:r>
        <mc:AlternateContent>
          <mc:Choice Requires="wpg">
            <w:drawing>
              <wp:anchor distT="0" distB="0" distL="114300" distR="114300" simplePos="0" relativeHeight="12288"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1" name="Group 11"/>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3"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24"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469872AB" id="Group 19" o:spid="_x0000_s1026" style="position:absolute;margin-left:36pt;margin-top:20.95pt;width:718.05pt;height:45.25pt;z-index:251704320;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qnc5cMAAADbAAAADwAAAGRycy9kb3ducmV2LnhtbESPQWvCQBSE74X+h+UVvOmmCmKjq5SS&#10;gDcxavX4yD6TaPZtyG5N/PeuIPQ4zMw3zGLVm1rcqHWVZQWfowgEcW51xYWC/S4dzkA4j6yxtkwK&#10;7uRgtXx/W2CsbcdbumW+EAHCLkYFpfdNLKXLSzLoRrYhDt7ZtgZ9kG0hdYtdgJtajqNoKg1WHBZK&#10;bOinpPya/RkFl9/Dttskad/dTZqcEjpmXxtWavDRf89BeOr9f/jVXmsF4wk8v4QfIJ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6p3OXDAAAA2w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amrcQAAADbAAAADwAAAGRycy9kb3ducmV2LnhtbESPzWrDMBCE74W8g9hAb42c4MapazkU&#10;Q6G30iSHHBdra5taK2PJ8c/TV4VCjsPMfMNkx8m04ka9aywr2G4iEMSl1Q1XCi7n96cDCOeRNbaW&#10;ScFMDo756iHDVNuRv+h28pUIEHYpKqi971IpXVmTQbexHXHwvm1v0AfZV1L3OAa4aeUuivbSYMNh&#10;ocaOiprKn9NgFBTz87Dl5CVul+vi7NU1n8lQKPW4nt5eQXia/D383/7QCnYx/H0JP0Dm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tqatxAAAANsAAAAPAAAAAAAAAAAA&#10;AAAAAKECAABkcnMvZG93bnJldi54bWxQSwUGAAAAAAQABAD5AAAAkgMAAAAA&#10;" strokecolor="#53529f" strokeweight="3.6pt"/>
                <w10:wrap xmlns:w10="urn:schemas-microsoft-com:office:word" anchorx="page" anchory="page"/>
              </v:group>
            </w:pict>
          </mc:Fallback>
        </mc:AlternateContent>
      </w:r>
      <w:r>
        <w:drawing>
          <wp:anchor distT="0" distB="0" distL="114300" distR="114300" simplePos="0" relativeHeight="2048" behindDoc="1" layoutInCell="1" allowOverlap="1" locked="0">
            <wp:simplePos x="0" y="0"/>
            <wp:positionH relativeFrom="page">
              <wp:posOffset>485775</wp:posOffset>
            </wp:positionH>
            <wp:positionV relativeFrom="page">
              <wp:posOffset>327660</wp:posOffset>
            </wp:positionV>
            <wp:extent cx="8985886" cy="464185"/>
            <wp:effectExtent l="0" t="0" r="6350" b="12065"/>
            <wp:wrapNone/>
            <wp:docPr id="12" name="Shape 1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2" w:name="_Toc1985117259"/>
                        <w:r>
                          <w:rPr>
                            <w:color w:val="53529F"/>
                          </w:rPr>
                          <w:t xml:space="preserve">Results</w:t>
                        </w:r>
                        <w:bookmarkEnd w:id="2"/>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4988" w:type="pct"/>
        <w:jc w:val="center"/>
        <w:tblCellMar>
          <w:left w:w="0" w:type="dxa"/>
          <w:right w:w="0" w:type="dxa"/>
        </w:tblCellMar>
        <w:tblLook w:firstRow="on" w:lastRow="on" w:firstColumn="on" w:lastColumn="on" w:noHBand="off" w:noVBand="off"/>
      </w:tblPr>
      <w:tblGrid>
        <w:gridCol w:w="7892"/>
        <w:gridCol w:w="6473"/>
      </w:tblGrid>
      <w:tr>
        <w:trPr>
          <w:jc w:val="center"/>
        </w:trPr>
        <w:tc>
          <w:tcPr>
            <w:tcW w:w="2747" w:type="pct"/>
            <w:shd w:val="clear" w:color="auto" w:fill="53529F"/>
            <w:vAlign w:val="center"/>
          </w:tcPr>
          <w:p>
            <w:pPr>
              <w:pStyle w:val="TableParagraph"/>
              <w:spacing w:before="120" w:after="120"/>
              <w:ind w:left="-2" w:firstLine="7"/>
              <w:jc w:val="center"/>
              <w:rPr>
                <w:rFonts w:ascii="Calibri" w:hAnsi="Calibri"/>
                <w:color w:val="FF0000"/>
                <w:sz w:val="24"/>
                <w:szCs w:val="24"/>
              </w:rPr>
            </w:pPr>
            <w:r>
              <w:rPr>
                <w:rFonts w:ascii="Calibri" w:hAnsi="Calibri"/>
                <w:b w:val="on"/>
                <w:color w:val="FFFFFF" w:themeColor="background1"/>
                <w:sz w:val="24"/>
                <w:szCs w:val="24"/>
              </w:rPr>
              <w:t xml:space="preserve">Overall Assurance</w:t>
            </w:r>
          </w:p>
        </w:tc>
        <w:tc>
          <w:tcPr>
            <w:tcW w:w="2253" w:type="pct"/>
            <w:shd w:val="clear" w:color="auto" w:fill="53529F"/>
            <w:vAlign w:val="center"/>
          </w:tcPr>
          <w:p>
            <w:pPr>
              <w:pStyle w:val="TableParagraph"/>
              <w:spacing w:before="120" w:after="120"/>
              <w:ind w:left="-2" w:right="169" w:firstLine="7"/>
              <w:jc w:val="center"/>
              <w:rPr>
                <w:rFonts w:ascii="Calibri" w:hAnsi="Calibri"/>
                <w:color w:val="FFFFFF" w:themeColor="background1"/>
                <w:sz w:val="24"/>
                <w:szCs w:val="24"/>
              </w:rPr>
            </w:pPr>
            <w:r>
              <w:rPr>
                <w:rFonts w:ascii="Calibri" w:hAnsi="Calibri"/>
                <w:b w:val="on"/>
                <w:color w:val="FFFFFF" w:themeColor="background1"/>
                <w:sz w:val="24"/>
                <w:szCs w:val="24"/>
              </w:rPr>
              <w:t xml:space="preserve">Conclusion/Rating</w:t>
            </w:r>
          </w:p>
        </w:tc>
      </w:tr>
      <w:tr>
        <w:trPr>
          <w:jc w:val="center"/>
        </w:trPr>
        <w:tc>
          <w:tcPr>
            <w:tcW w:w="2747" w:type="pct"/>
            <w:vAlign w:val="center"/>
          </w:tcPr>
          <w:p>
            <w:pPr>
              <w:pStyle w:val="TableParagraph"/>
              <w:spacing w:before="120" w:after="120"/>
              <w:ind w:left="-2" w:firstLine="7"/>
              <w:jc w:val="center"/>
              <w:rPr>
                <w:rFonts w:ascii="Calibri" w:hAnsi="Calibri"/>
                <w:b w:val="on"/>
                <w:color w:val="070F13" w:themeColor="text1"/>
                <w:sz w:val="24"/>
                <w:szCs w:val="24"/>
              </w:rPr>
            </w:pPr>
            <w:r>
              <w:rPr>
                <w:rFonts w:ascii="Calibri" w:hAnsi="Calibri"/>
                <w:color w:val="070F13" w:themeColor="text1"/>
                <w:sz w:val="24"/>
                <w:szCs w:val="24"/>
              </w:rPr>
              <w:t xml:space="preserve">0%</w:t>
            </w:r>
          </w:p>
        </w:tc>
        <w:tc>
          <w:tcPr>
            <w:tcW w:w="2253" w:type="pct"/>
            <w:vAlign w:val="center"/>
          </w:tcPr>
          <w:p>
            <w:pPr>
              <w:pStyle w:val="TableParagraph"/>
              <w:spacing w:before="120" w:after="120"/>
              <w:ind w:left="-2" w:right="169" w:firstLine="7"/>
              <w:jc w:val="center"/>
              <w:rPr>
                <w:rFonts w:ascii="Calibri" w:hAnsi="Calibri"/>
                <w:b w:val="on"/>
                <w:color w:val="070F13" w:themeColor="text1"/>
                <w:sz w:val="24"/>
                <w:szCs w:val="24"/>
              </w:rPr>
            </w:pPr>
            <w:r>
              <w:rPr>
                <w:rFonts w:ascii="Calibri" w:hAnsi="Calibri"/>
                <w:color w:val="070F13" w:themeColor="text1"/>
                <w:sz w:val="24"/>
                <w:szCs w:val="24"/>
              </w:rPr>
              <w:t xml:space="preserve">Needs Improvement</w:t>
            </w:r>
          </w:p>
        </w:tc>
      </w:tr>
    </w:tbl>
    <w:p>
      <w:pPr>
        <w:pStyle w:val="BodyText"/>
        <w:rPr>
          <w:rFonts w:ascii="Times"/>
          <w:b w:val="off"/>
        </w:rPr>
      </w:pPr>
    </w:p>
    <w:p>
      <w:pPr>
        <w:pStyle w:val="BodyText"/>
        <w:rPr>
          <w:rFonts w:ascii="Times"/>
          <w:b w:val="off"/>
        </w:rPr>
      </w:pPr>
      <w:r>
        <w:drawing>
          <wp:anchor distT="0" distB="0" distL="114300" distR="114300" simplePos="0" relativeHeight="8192" behindDoc="0" layoutInCell="1" allowOverlap="1" locked="0">
            <wp:simplePos x="0" y="0"/>
            <wp:positionH relativeFrom="column">
              <wp:posOffset>4528820</wp:posOffset>
            </wp:positionH>
            <wp:positionV relativeFrom="paragraph">
              <wp:posOffset>130175</wp:posOffset>
            </wp:positionV>
            <wp:extent cx="4591685" cy="295910"/>
            <wp:effectExtent l="0" t="0" r="0" b="0"/>
            <wp:wrapNone/>
            <wp:docPr id="13" name="Shape 13"/>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91685" cy="1403985"/>
                    </a:xfrm>
                    <a:prstGeom xmlns:a="http://schemas.openxmlformats.org/drawingml/2006/main" prst="rect">
                      <a:avLst/>
                    </a:prstGeom>
                    <a:noFill xmlns:a="http://schemas.openxmlformats.org/drawingml/2006/main"/>
                    <a:ln xmlns:a="http://schemas.openxmlformats.org/drawingml/2006/main" w="9525">
                      <a:noFill/>
                      <a:miter lim="800000"/>
                      <a:headEnd/>
                      <a:tailEnd/>
                    </a:ln>
                  </wps:spPr>
                  <wps:txbx>
                    <w:txbxContent>
                      <w:p>
                        <w:pPr>
                          <w:rPr>
                            <w:b w:val="on"/>
                          </w:rPr>
                        </w:pPr>
                        <w:r>
                          <w:rPr>
                            <w:rFonts w:asciiTheme="minorHAnsi" w:hAnsiTheme="minorHAnsi"/>
                            <w:b w:val="on"/>
                            <w:color w:val="4A478A"/>
                            <w:sz w:val="24"/>
                            <w:szCs w:val="24"/>
                          </w:rPr>
                          <w:t xml:space="preserve">Issue by Owner</w:t>
                        </w:r>
                      </w:p>
                    </w:txbxContent>
                  </wps:txbx>
                  <w10:wrap anchorx="text" anchory="text"/>
                  <wps:bodyPr xmlns:wps="http://schemas.microsoft.com/office/word/2010/wordprocessingShape" rot="0" vert="horz" wrap="square" lIns="91440" tIns="45720" rIns="91440" bIns="45720" anchor="t" anchorCtr="0">
                    <a:spAutoFit xmlns:a="http://schemas.openxmlformats.org/drawingml/2006/main"/>
                  </wps:bodyPr>
                </wps:wsp>
              </a:graphicData>
            </a:graphic>
          </wp:anchor>
        </w:drawing>
      </w:r>
      <w:r>
        <w:drawing>
          <wp:anchor distT="0" distB="0" distL="114300" distR="114300" simplePos="0" relativeHeight="7168" behindDoc="0" layoutInCell="1" allowOverlap="1" locked="0">
            <wp:simplePos x="0" y="0"/>
            <wp:positionH relativeFrom="column">
              <wp:posOffset>0</wp:posOffset>
            </wp:positionH>
            <wp:positionV relativeFrom="paragraph">
              <wp:posOffset>139065</wp:posOffset>
            </wp:positionV>
            <wp:extent cx="4526280" cy="295910"/>
            <wp:effectExtent l="0" t="0" r="7620" b="0"/>
            <wp:wrapNone/>
            <wp:docPr id="14" name="Shape 14"/>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26280" cy="1403985"/>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wps:spPr>
                  <wps:txbx>
                    <w:txbxContent>
                      <w:p>
                        <w:pPr>
                          <w:rPr>
                            <w:rFonts w:asciiTheme="minorHAnsi" w:hAnsiTheme="minorHAnsi"/>
                            <w:b w:val="on"/>
                          </w:rPr>
                        </w:pPr>
                        <w:r>
                          <w:rPr>
                            <w:rFonts w:asciiTheme="minorHAnsi" w:hAnsiTheme="minorHAnsi"/>
                            <w:b w:val="on"/>
                            <w:color w:val="4A478A"/>
                            <w:sz w:val="24"/>
                            <w:szCs w:val="24"/>
                          </w:rPr>
                          <w:t xml:space="preserve">Issue by Severity</w:t>
                        </w:r>
                      </w:p>
                    </w:txbxContent>
                  </wps:txbx>
                  <w10:wrap anchorx="text" anchory="text"/>
                  <wps:bodyPr xmlns:wps="http://schemas.microsoft.com/office/word/2010/wordprocessingShape" rot="0" vert="horz" wrap="square" lIns="91440" tIns="45720" rIns="91440" bIns="45720" anchor="ctr" anchorCtr="0" upright="1">
                    <a:sp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rPr>
      </w:pP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711488" behindDoc="0" locked="0" layoutInCell="1" allowOverlap="1" wp14:anchorId="2FA2BAB8" wp14:editId="755347A4">
            <wp:simplePos x="0" y="0"/>
            <wp:positionH relativeFrom="column">
              <wp:posOffset>0</wp:posOffset>
            </wp:positionH>
            <wp:positionV relativeFrom="paragraph">
              <wp:posOffset>149225</wp:posOffset>
            </wp:positionV>
            <wp:extent cx="4528820" cy="2415540"/>
            <wp:effectExtent l="0" t="0" r="5080" b="3810"/>
            <wp:wrapNone/>
            <wp:docPr id="15"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anchor>
        </w:drawing>
      </w: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698176" behindDoc="1" locked="0" layoutInCell="1" allowOverlap="1" wp14:anchorId="0881F927" wp14:editId="55E3F005">
            <wp:simplePos x="0" y="0"/>
            <wp:positionH relativeFrom="column">
              <wp:posOffset>4528820</wp:posOffset>
            </wp:positionH>
            <wp:positionV relativeFrom="paragraph">
              <wp:posOffset>149225</wp:posOffset>
            </wp:positionV>
            <wp:extent cx="4589145" cy="2415540"/>
            <wp:effectExtent l="0" t="0" r="1905" b="3810"/>
            <wp:wrapThrough wrapText="bothSides">
              <wp:wrapPolygon edited="0">
                <wp:start x="90" y="0"/>
                <wp:lineTo x="0" y="511"/>
                <wp:lineTo x="0" y="21123"/>
                <wp:lineTo x="90" y="21464"/>
                <wp:lineTo x="21430" y="21464"/>
                <wp:lineTo x="21519" y="21123"/>
                <wp:lineTo x="21519" y="511"/>
                <wp:lineTo x="21430" y="0"/>
                <wp:lineTo x="90" y="0"/>
              </wp:wrapPolygon>
            </wp:wrapThrough>
            <wp:docPr id="16"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page">
              <wp14:pctWidth>0</wp14:pctWidth>
            </wp14:sizeRelH>
            <wp14:sizeRelV relativeFrom="page">
              <wp14:pctHeight>0</wp14:pctHeight>
            </wp14:sizeRelV>
          </wp:anchor>
        </w:drawing>
      </w: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Conclusion/Rating Description</w:t>
            </w:r>
          </w:p>
        </w:tc>
      </w:tr>
    </w:tbl>
    <w:p>
      <w:pPr>
        <w:rPr>
          <w:rFonts w:ascii="Calibri" w:hAnsi="Calibri"/>
          <w:color w:val="070F13" w:themeColor="text1"/>
          <w:sz w:val="24"/>
          <w:szCs w:val="24"/>
        </w:rPr>
      </w:pPr>
    </w:p>
    <w:p>
      <w:pPr>
        <w:rPr>
          <w:rFonts w:ascii="Times"/>
          <w:b w:val="on"/>
        </w:rPr>
        <w:sectPr>
          <w:headerReference w:type="default" r:id="rId21"/>
          <w:type w:val="nextPage"/>
          <w:pgSz w:w="15840" w:h="12240" w:orient="landscape"/>
          <w:pgMar w:top="720" w:right="720" w:bottom="720" w:left="720" w:header="397" w:footer="397" w:gutter="0"/>
          <w:cols w:space="720"/>
          <w:textDirection w:val="lrTb"/>
          <w:bidi w:val="off"/>
        </w:sectPr>
      </w:pPr>
      <w:r>
        <w:rPr>
          <w:rFonts w:ascii="Calibri" w:hAnsi="Calibri"/>
          <w:color w:val="070F13" w:themeColor="text1"/>
          <w:sz w:val="24"/>
          <w:szCs w:val="24"/>
        </w:rPr>
        <w:t xml:space="preserve">The spot-check review of the North Rift Region confirms that while some foundational controls and governance practices are in place across branches, the overall control environment remains </w:t>
      </w:r>
      <w:r>
        <w:rPr>
          <w:rFonts w:ascii="Calibri" w:hAnsi="Calibri"/>
          <w:b w:val="on"/>
          <w:color w:val="070F13" w:themeColor="text1"/>
          <w:sz w:val="24"/>
          <w:szCs w:val="24"/>
        </w:rPr>
        <w:t xml:space="preserve">below the standard required to provide reliable assurance</w:t>
      </w:r>
      <w:r>
        <w:rPr>
          <w:rFonts w:ascii="Calibri" w:hAnsi="Calibri"/>
          <w:b w:val="off"/>
          <w:color w:val="070F13" w:themeColor="text1"/>
          <w:sz w:val="24"/>
          <w:szCs w:val="24"/>
        </w:rPr>
        <w:t xml:space="preserve">. The assessment identified systemic weaknesses in governance integration, income and expenditure controls, volunteer and payroll compliance, and a pattern of </w:t>
      </w:r>
      <w:r>
        <w:rPr>
          <w:rFonts w:ascii="Calibri" w:hAnsi="Calibri"/>
          <w:b w:val="on"/>
          <w:color w:val="070F13" w:themeColor="text1"/>
          <w:sz w:val="24"/>
          <w:szCs w:val="24"/>
        </w:rPr>
        <w:t xml:space="preserve">persistent partial remediation of prior audit findings</w:t>
      </w:r>
      <w:r>
        <w:rPr>
          <w:rFonts w:ascii="Calibri" w:hAnsi="Calibri"/>
          <w:b w:val="off"/>
          <w:color w:val="070F13" w:themeColor="text1"/>
          <w:sz w:val="24"/>
          <w:szCs w:val="24"/>
        </w:rPr>
        <w:t xml:space="preserve">. These gaps—combined with inconsistent documentation, delayed reconciliations, incomplete asset and risk records, and inadequate oversight mechanisms—elevate financial, compliance, and operational risks across the region. As a result, the audit is rated </w:t>
      </w:r>
      <w:r>
        <w:rPr>
          <w:rFonts w:ascii="Calibri" w:hAnsi="Calibri"/>
          <w:b w:val="on"/>
          <w:color w:val="070F13" w:themeColor="text1"/>
          <w:sz w:val="24"/>
          <w:szCs w:val="24"/>
        </w:rPr>
        <w:t xml:space="preserve">Needs Improvement</w:t>
      </w:r>
      <w:r>
        <w:rPr>
          <w:rFonts w:ascii="Calibri" w:hAnsi="Calibri"/>
          <w:b w:val="off"/>
          <w:color w:val="070F13" w:themeColor="text1"/>
          <w:sz w:val="24"/>
          <w:szCs w:val="24"/>
        </w:rPr>
        <w:t xml:space="preserve">, signalling that </w:t>
      </w:r>
      <w:r>
        <w:rPr>
          <w:rFonts w:ascii="Calibri" w:hAnsi="Calibri"/>
          <w:b w:val="on"/>
          <w:color w:val="070F13" w:themeColor="text1"/>
          <w:sz w:val="24"/>
          <w:szCs w:val="24"/>
        </w:rPr>
        <w:t xml:space="preserve">significant and coordinated management action is required</w:t>
      </w:r>
      <w:r>
        <w:rPr>
          <w:rFonts w:ascii="Calibri" w:hAnsi="Calibri"/>
          <w:b w:val="off"/>
          <w:color w:val="070F13" w:themeColor="text1"/>
          <w:sz w:val="24"/>
          <w:szCs w:val="24"/>
        </w:rPr>
        <w:t xml:space="preserve"> to stabilize controls, reinforce governance discipline, and ensure timely, evidence-based closure of outstanding recommendations. Effective remediation will depend on regional leadership enforcing standards consistently, strengthening accountability structures, and embedding preventive controls that address root causes rather than symptoms.</w:t>
      </w:r>
    </w:p>
    <w:p>
      <w:pPr>
        <w:rPr>
          <w:rFonts w:ascii="Times"/>
          <w:bCs/>
          <w:sz w:val="20"/>
          <w:szCs w:val="20"/>
        </w:rPr>
      </w:pPr>
    </w:p>
    <w:p>
      <w:pPr>
        <w:rPr>
          <w:rFonts w:ascii="Times"/>
          <w:bCs/>
          <w:sz w:val="20"/>
          <w:szCs w:val="20"/>
        </w:rPr>
      </w:pPr>
    </w:p>
    <w:p>
      <w:pPr>
        <w:pStyle w:val="BodyText"/>
        <w:rPr>
          <w:rFonts w:ascii="Times"/>
          <w:b w:val="off"/>
        </w:rPr>
      </w:pPr>
      <w:r>
        <mc:AlternateContent>
          <mc:Choice Requires="wpg">
            <w:drawing>
              <wp:anchor distT="0" distB="0" distL="114300" distR="114300" simplePos="0" relativeHeight="13312"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7" name="Group 17"/>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9"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0"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F897CB0" id="Group 28" o:spid="_x0000_s1026" style="position:absolute;margin-left:36pt;margin-top:20.95pt;width:718.05pt;height:45.25pt;z-index:251706368;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0HrD8IAAADbAAAADwAAAGRycy9kb3ducmV2LnhtbESPT4vCMBTE74LfITxhb5rqYVmrUZal&#10;BW9i/Xt8NM+22ryUJmvrt98sCB6HmfkNs1z3phYPal1lWcF0EoEgzq2uuFBw2KfjLxDOI2usLZOC&#10;JzlYr4aDJcbadryjR+YLESDsYlRQet/EUrq8JINuYhvi4F1ta9AH2RZSt9gFuKnlLIo+pcGKw0KJ&#10;Df2UlN+zX6Pgdjruum2S9t3TpMkloXM237JSH6P+ewHCU+/f4Vd7oxXM5vD/JfwAufo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0HrD8IAAADbAAAADwAAAAAAAAAAAAAA&#10;AAChAgAAZHJzL2Rvd25yZXYueG1sUEsFBgAAAAAEAAQA+QAAAJADA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1Q2c8EAAADbAAAADwAAAGRycy9kb3ducmV2LnhtbERPy2rCQBTdC/2H4QrdmYm11TZmDBIo&#10;dFeqLlxeMtckmLkTMpOXX99ZFLo8nHeaTaYRA3WutqxgHcUgiAuray4VXM6fq3cQziNrbCyTgpkc&#10;ZIenRYqJtiP/0HDypQgh7BJUUHnfJlK6oiKDLrItceButjPoA+xKqTscQ7hp5Escb6XBmkNDhS3l&#10;FRX3U28U5PNbv+bdx2vzuD6cvbr6e9fnSj0vp+MehKfJ/4v/3F9awSasD1/CD5CH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VDZzwQAAANsAAAAPAAAAAAAAAAAAAAAA&#10;AKECAABkcnMvZG93bnJldi54bWxQSwUGAAAAAAQABAD5AAAAjwMAAAAA&#10;" strokecolor="#53529f" strokeweight="3.6pt"/>
                <w10:wrap xmlns:w10="urn:schemas-microsoft-com:office:word" anchorx="page" anchory="page"/>
              </v:group>
            </w:pict>
          </mc:Fallback>
        </mc:AlternateContent>
      </w:r>
      <w:r>
        <w:drawing>
          <wp:anchor distT="0" distB="0" distL="114300" distR="114300" simplePos="0" relativeHeight="4096" behindDoc="1" layoutInCell="1" allowOverlap="1" locked="0">
            <wp:simplePos x="0" y="0"/>
            <wp:positionH relativeFrom="page">
              <wp:posOffset>485775</wp:posOffset>
            </wp:positionH>
            <wp:positionV relativeFrom="page">
              <wp:posOffset>327660</wp:posOffset>
            </wp:positionV>
            <wp:extent cx="9050656" cy="464185"/>
            <wp:effectExtent l="0" t="0" r="17780" b="12065"/>
            <wp:wrapNone/>
            <wp:docPr id="18" name="Shape 18"/>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0504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3" w:name="_Toc491625988"/>
                        <w:r>
                          <w:rPr>
                            <w:color w:val="53529F"/>
                          </w:rPr>
                          <w:t xml:space="preserve">Results Summary</w:t>
                        </w:r>
                        <w:bookmarkEnd w:id="3"/>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tabs>
          <w:tab w:val="left" w:leader="none" w:pos="2496"/>
        </w:tabs>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tbl>
      <w:tblPr>
        <w:tblW w:w="5000"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firstRow="on" w:lastRow="on" w:firstColumn="on" w:lastColumn="on" w:noHBand="off" w:noVBand="off"/>
      </w:tblPr>
      <w:tblGrid>
        <w:gridCol w:w="4501"/>
        <w:gridCol w:w="2863"/>
        <w:gridCol w:w="1407"/>
        <w:gridCol w:w="1407"/>
        <w:gridCol w:w="1407"/>
        <w:gridCol w:w="1407"/>
        <w:gridCol w:w="1408"/>
      </w:tblGrid>
      <w:tr>
        <w:trPr>
          <w:tblHeader w:val="on"/>
          <w:jc w:val="center"/>
        </w:trPr>
        <w:tc>
          <w:tcPr>
            <w:tcW w:w="4501"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Objective</w:t>
            </w:r>
          </w:p>
        </w:tc>
        <w:tc>
          <w:tcPr>
            <w:tcW w:w="2863"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Assurance</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Passed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Failed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Not tested</w:t>
            </w:r>
          </w:p>
        </w:tc>
        <w:tc>
          <w:tcPr>
            <w:tcW w:w="1408"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Review the oversight role of Governance</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Assess the effectiveness of Internal controls over I&amp;E</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2</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2</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Follow up of outstanding recommendations from previous audit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shd w:val="clear" w:color="auto" w:fill="D7D7D7"/>
            <w:vAlign w:val="center"/>
          </w:tcPr>
          <w:p>
            <w:pPr>
              <w:pStyle w:val="BodyText"/>
              <w:spacing w:before="120" w:after="120"/>
              <w:ind w:left="113"/>
              <w:rPr>
                <w:color w:val="070F13" w:themeColor="text1"/>
                <w:sz w:val="24"/>
                <w:szCs w:val="24"/>
              </w:rPr>
            </w:pPr>
            <w:r>
              <w:rPr>
                <w:rFonts w:asciiTheme="minorHAnsi" w:hAnsiTheme="minorHAnsi"/>
                <w:color w:val="070F13" w:themeColor="text1"/>
                <w:sz w:val="24"/>
                <w:szCs w:val="24"/>
              </w:rPr>
              <w:t xml:space="preserve">TOTAL</w:t>
            </w:r>
          </w:p>
        </w:tc>
        <w:tc>
          <w:tcPr>
            <w:tcW w:w="2863" w:type="dxa"/>
            <w:shd w:val="clear" w:color="auto" w:fill="D7D7D7"/>
            <w:vAlign w:val="center"/>
          </w:tcPr>
          <w:p>
            <w:pPr>
              <w:pStyle w:val="BodyText"/>
              <w:spacing w:before="120" w:after="120"/>
              <w:ind w:left="113"/>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0</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4</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0</w:t>
            </w:r>
          </w:p>
        </w:tc>
        <w:tc>
          <w:tcPr>
            <w:tcW w:w="1408"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3</w:t>
            </w:r>
          </w:p>
        </w:tc>
      </w:tr>
    </w:tbl>
    <w:p>
      <w:pPr>
        <w:tabs>
          <w:tab w:val="left" w:leader="none" w:pos="2496"/>
        </w:tabs>
        <w:rPr/>
        <w:sectPr>
          <w:type w:val="nextPage"/>
          <w:pgSz w:w="15840" w:h="12240" w:orient="landscape"/>
          <w:pgMar w:top="720" w:right="720" w:bottom="720" w:left="720" w:header="397" w:footer="397" w:gutter="0"/>
          <w:cols w:space="720"/>
          <w:textDirection w:val="lrTb"/>
          <w:bidi w:val="off"/>
        </w:sectPr>
      </w:pPr>
      <w:r>
        <w:rPr/>
        <w:t xml:space="preserve">  </w:t>
      </w:r>
    </w:p>
    <w:p>
      <w:pPr>
        <w:pStyle w:val="BodyText"/>
        <w:rPr>
          <w:rFonts w:ascii="Times"/>
          <w:b w:val="off"/>
        </w:rPr>
      </w:pPr>
      <w:r>
        <mc:AlternateContent>
          <mc:Choice Requires="wpg">
            <w:drawing>
              <wp:anchor distT="0" distB="0" distL="114300" distR="114300" simplePos="0" relativeHeight="14336" behindDoc="0" layoutInCell="1" allowOverlap="1" locked="0">
                <wp:simplePos x="0" y="0"/>
                <wp:positionH relativeFrom="page">
                  <wp:posOffset>457200</wp:posOffset>
                </wp:positionH>
                <wp:positionV relativeFrom="page">
                  <wp:posOffset>266700</wp:posOffset>
                </wp:positionV>
                <wp:extent cx="9119870" cy="574675"/>
                <wp:effectExtent l="0" t="0" r="5715" b="15875"/>
                <wp:wrapNone/>
                <wp:docPr id="19" name="Group 19"/>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3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E862462" id="Group 33" o:spid="_x0000_s1026" style="position:absolute;margin-left:36pt;margin-top:21pt;width:718.1pt;height:45.25pt;z-index:251708416;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k91zAIAAFs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JnSTMQAAADbAAAADwAAAGRycy9kb3ducmV2LnhtbESPQWvCQBSE7wX/w/IEb3VjLcWmboKU&#10;BLyJaa0eH9nXJJp9G7Krif++Wyj0OMzMN8w6HU0rbtS7xrKCxTwCQVxa3XCl4PMjf1yBcB5ZY2uZ&#10;FNzJQZpMHtYYazvwnm6Fr0SAsItRQe19F0vpypoMurntiIP3bXuDPsi+krrHIcBNK5+i6EUabDgs&#10;1NjRe03lpbgaBeevw37YZfk43E2enTI6Fq87Vmo2HTdvIDyN/j/8195qBctn+P0SfoBM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mdJMxAAAANsAAAAPAAAAAAAAAAAA&#10;AAAAAKECAABkcnMvZG93bnJldi54bWxQSwUGAAAAAAQABAD5AAAAkgM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OV68QAAADbAAAADwAAAGRycy9kb3ducmV2LnhtbESPT2vCQBTE7wW/w/KE3upGWxuNrlIC&#10;BW/S2IPHR/aZBLNvQ3bzRz+9WxB6HGbmN8x2P5pa9NS6yrKC+SwCQZxbXXGh4Pf0/bYC4Tyyxtoy&#10;KbiRg/1u8rLFRNuBf6jPfCEChF2CCkrvm0RKl5dk0M1sQxy8i20N+iDbQuoWhwA3tVxE0ac0WHFY&#10;KLGhtKT8mnVGQXpbdnOO1x/1/Xx39uyqY9ylSr1Ox68NCE+j/w8/2wet4H0Jf1/CD5C7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I5XrxAAAANsAAAAPAAAAAAAAAAAA&#10;AAAAAKECAABkcnMvZG93bnJldi54bWxQSwUGAAAAAAQABAD5AAAAkgM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r>
        <w:drawing>
          <wp:anchor distT="0" distB="0" distL="114300" distR="114300" simplePos="0" relativeHeight="3072" behindDoc="1" layoutInCell="1" allowOverlap="1" locked="0">
            <wp:simplePos x="0" y="0"/>
            <wp:positionH relativeFrom="page">
              <wp:posOffset>485775</wp:posOffset>
            </wp:positionH>
            <wp:positionV relativeFrom="page">
              <wp:posOffset>327660</wp:posOffset>
            </wp:positionV>
            <wp:extent cx="4708525" cy="464185"/>
            <wp:effectExtent l="0" t="0" r="15875" b="12065"/>
            <wp:wrapNone/>
            <wp:docPr id="20" name="Shape 20"/>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7088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4" w:name="_Toc553638132"/>
                        <w:r>
                          <w:rPr>
                            <w:color w:val="53529F"/>
                          </w:rPr>
                          <w:t xml:space="preserve">Summary of Issues</w:t>
                        </w:r>
                        <w:bookmarkEnd w:id="4"/>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tbl>
      <w:tblPr>
        <w:tblW w:w="4923"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Look w:firstRow="off" w:lastRow="off" w:firstColumn="off" w:lastColumn="off" w:noHBand="off" w:noVBand="off"/>
      </w:tblPr>
      <w:tblGrid>
        <w:gridCol w:w="1891"/>
        <w:gridCol w:w="4951"/>
        <w:gridCol w:w="2614"/>
        <w:gridCol w:w="2337"/>
        <w:gridCol w:w="2385"/>
      </w:tblGrid>
      <w:tr>
        <w:trPr>
          <w:cantSplit w:val="on"/>
          <w:tblHeader w:val="on"/>
          <w:jc w:val="center"/>
        </w:trPr>
        <w:tc>
          <w:tcPr>
            <w:tcW w:w="667"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 ID</w:t>
            </w:r>
          </w:p>
        </w:tc>
        <w:tc>
          <w:tcPr>
            <w:tcW w:w="1746"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Title/Headline</w:t>
            </w:r>
          </w:p>
        </w:tc>
        <w:tc>
          <w:tcPr>
            <w:tcW w:w="922"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824"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Severity</w:t>
            </w:r>
          </w:p>
        </w:tc>
        <w:tc>
          <w:tcPr>
            <w:tcW w:w="841"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Remediation Deadline</w:t>
            </w: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002</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Weaknesses controls around Income</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RFO and CCs</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003</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Weaknesses in Expenditure Authorisation, Payroll &amp; Supporting Documentation</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RFO and CCs</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004</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Persistent Partial Remediation of Prior Audit Findings → Elevated Financial, Compliance and Governance Risk in North Rift Region</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HoR, RFO and CCs</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bl>
    <w:p>
      <w:pPr>
        <w:rPr>
          <w:b w:val="on"/>
          <w:bCs/>
        </w:rPr>
        <w:sectPr>
          <w:headerReference w:type="default" r:id="rId22"/>
          <w:type w:val="nextPage"/>
          <w:pgSz w:w="15840" w:h="12240" w:orient="landscape"/>
          <w:pgMar w:top="720" w:right="720" w:bottom="720" w:left="720" w:header="397" w:footer="397" w:gutter="0"/>
          <w:cols w:space="720"/>
          <w:textDirection w:val="lrTb"/>
          <w:bidi w:val="off"/>
        </w:sectPr>
      </w:pPr>
    </w:p>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5" w:name="_Toc1668732914"/>
            <w:r>
              <w:rPr/>
              <w:t xml:space="preserve"> 002 Weaknesses controls around Income</w:t>
            </w:r>
            <w:bookmarkEnd w:id="5"/>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Assess the effectiveness of Internal controls over I&amp;E</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RFO and CCs</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October 17,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Uasin Gishu (UG)</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Receipt books are sequential but income retention is </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~20.03%</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(below the 25% benchmark). Income drivers are concentrated (Humanity Walk ~66% of receipts in one snapshot). Fundraising-reliant model exposes the branch to seasonality and single-event risk. Some fundraising and IGA receipts were traceable to NAV and bank — good — but retention shortfall is notable. </w:t>
            </w:r>
          </w:p>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Nandi</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Extremely high concentration in fundraising (≈79% of income) with first aid/training contributing ~19%. Receipts sampled were traceable to NAV and bank, but several receipt records miss important fields (date, payer, signature) — weak completeness controls. </w:t>
            </w:r>
          </w:p>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Elgeyo Marakwet</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Receipt books sequential; some gaps observed (missing inventory/transaction detail on certain IGA activities). MPESA transaction references are sometimes not recorded in the ERP — weak audit trail for cashless receipts. </w:t>
            </w:r>
          </w:p>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Trans Nzoia &amp; Turkana</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IGAs (mileage, merch, trainings, project support recoveries) are generally traceable to bank and ERP. The Turkana branch reported deficient/unhealthy retention Negative 25% retention  </w:t>
            </w:r>
          </w:p>
          <w:tbl>
            <w:tblPr>
              <w:tblW w:w="0" w:type="auto"/>
              <w:tblBorders>
                <w:top w:val="single" w:sz="6" w:color="000000"/>
                <w:left w:val="single" w:sz="6" w:color="000000"/>
                <w:bottom w:val="single" w:sz="6" w:color="000000"/>
                <w:right w:val="single" w:sz="6" w:color="000000"/>
                <w:insideH w:val="single" w:sz="6" w:color="000000"/>
                <w:insideV w:val="single" w:sz="6" w:color="000000"/>
              </w:tblBorders>
              <w:tblLayout w:type="fixed"/>
            </w:tblPr>
            <w:tblGrid>
              <w:gridCol w:w="1125"/>
              <w:gridCol w:w="1125"/>
              <w:gridCol w:w="1125"/>
              <w:gridCol w:w="1125"/>
              <w:gridCol w:w="1681"/>
              <w:gridCol w:w="1125"/>
              <w:gridCol w:w="1681"/>
            </w:tblGrid>
            <w:tr>
              <w:trPr/>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County </w:t>
                  </w:r>
                </w:p>
              </w:tc>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Uasin Gishu </w:t>
                  </w:r>
                </w:p>
              </w:tc>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Nandi </w:t>
                  </w:r>
                </w:p>
              </w:tc>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Elgeyo Marakwet </w:t>
                  </w:r>
                </w:p>
              </w:tc>
              <w:tc>
                <w:tcPr>
                  <w:tcW w:w="0" w:type="auto"/>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Trans Nzoia </w:t>
                  </w:r>
                </w:p>
              </w:tc>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West Pokot </w:t>
                  </w:r>
                </w:p>
              </w:tc>
              <w:tc>
                <w:tcPr>
                  <w:tcW w:w="0" w:type="auto"/>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Turkana </w:t>
                  </w:r>
                </w:p>
              </w:tc>
            </w:tr>
            <w:tr>
              <w:trPr/>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Incomes </w:t>
                  </w:r>
                </w:p>
              </w:tc>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3,690,783.93 </w:t>
                  </w:r>
                </w:p>
              </w:tc>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775,797.00 </w:t>
                  </w:r>
                </w:p>
              </w:tc>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385,385.00 </w:t>
                  </w:r>
                </w:p>
              </w:tc>
              <w:tc>
                <w:tcPr>
                  <w:tcW w:w="0" w:type="auto"/>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1,658,137.80 </w:t>
                  </w:r>
                </w:p>
              </w:tc>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1,586,860.01 </w:t>
                  </w:r>
                </w:p>
              </w:tc>
              <w:tc>
                <w:tcPr>
                  <w:tcW w:w="0" w:type="auto"/>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120,997.00 </w:t>
                  </w:r>
                </w:p>
              </w:tc>
            </w:tr>
            <w:tr>
              <w:trPr/>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Expenses </w:t>
                  </w:r>
                </w:p>
              </w:tc>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3,004,218.85  </w:t>
                  </w:r>
                </w:p>
              </w:tc>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620,735.00  </w:t>
                  </w:r>
                </w:p>
              </w:tc>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330,529.50  </w:t>
                  </w:r>
                </w:p>
              </w:tc>
              <w:tc>
                <w:tcPr>
                  <w:tcW w:w="0" w:type="auto"/>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2,230,696.87 </w:t>
                  </w:r>
                </w:p>
              </w:tc>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724,408.41 </w:t>
                  </w:r>
                </w:p>
              </w:tc>
              <w:tc>
                <w:tcPr>
                  <w:tcW w:w="0" w:type="auto"/>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3,176,952.05 </w:t>
                  </w:r>
                </w:p>
              </w:tc>
            </w:tr>
            <w:tr>
              <w:trPr/>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Surplus/Deficit </w:t>
                  </w:r>
                </w:p>
              </w:tc>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686,565.08 </w:t>
                  </w:r>
                </w:p>
              </w:tc>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155,062 </w:t>
                  </w:r>
                </w:p>
              </w:tc>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54,855.5 </w:t>
                  </w:r>
                </w:p>
              </w:tc>
              <w:tc>
                <w:tcPr>
                  <w:tcW w:w="0" w:type="auto"/>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572,559.07 </w:t>
                  </w:r>
                </w:p>
              </w:tc>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862,451.6 </w:t>
                  </w:r>
                </w:p>
              </w:tc>
              <w:tc>
                <w:tcPr>
                  <w:tcW w:w="0" w:type="auto"/>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3,055,955.05 </w:t>
                  </w:r>
                </w:p>
              </w:tc>
            </w:tr>
            <w:tr>
              <w:trPr/>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of Income  </w:t>
                  </w:r>
                </w:p>
              </w:tc>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20% </w:t>
                  </w:r>
                </w:p>
              </w:tc>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20% </w:t>
                  </w:r>
                </w:p>
              </w:tc>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14% </w:t>
                  </w:r>
                </w:p>
              </w:tc>
              <w:tc>
                <w:tcPr>
                  <w:tcW w:w="0" w:type="auto"/>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c>
                <w:tcPr>
                  <w:tcW w:w="1125" w:type="dxa"/>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54% </w:t>
                  </w:r>
                </w:p>
              </w:tc>
              <w:tc>
                <w:tcPr>
                  <w:tcW w:w="0" w:type="auto"/>
                  <w:tcBorders>
                    <w:top w:val="single" w:sz="6" w:color="000000"/>
                    <w:left w:val="single" w:sz="6" w:color="000000"/>
                    <w:bottom w:val="single" w:sz="6" w:color="000000"/>
                    <w:right w:val="single" w:sz="6" w:color="000000"/>
                    <w:insideH w:val="single" w:sz="6" w:color="000000"/>
                    <w:insideV w:val="single" w:sz="6" w:color="000000"/>
                  </w:tcBorders>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0% </w:t>
                  </w:r>
                </w:p>
              </w:tc>
            </w:tr>
          </w:tbl>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Cross-cutting issues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numPr>
                <w:ilvl w:val="1"/>
                <w:numId w:val="13"/>
              </w:numPr>
              <w:spacing w:before="120" w:after="24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Revenue concentration risk</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(several branches heavily dependent on single fundraising events). </w:t>
            </w:r>
          </w:p>
          <w:p>
            <w:pPr>
              <w:pStyle w:val="BodyText"/>
              <w:numPr>
                <w:ilvl w:val="1"/>
                <w:numId w:val="13"/>
              </w:numPr>
              <w:spacing w:before="120" w:after="24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Receipt completeness/traceability gaps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(missing transaction references, incomplete receipt details, occasional late posting into ERP). </w:t>
            </w:r>
          </w:p>
          <w:p>
            <w:pPr>
              <w:pStyle w:val="BodyText"/>
              <w:numPr>
                <w:ilvl w:val="1"/>
                <w:numId w:val="13"/>
              </w:numPr>
              <w:spacing w:before="120" w:after="24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Improper cash collection practices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in isolated cases (cash collected and banked on behalf of customers instead of strict paybill use). </w:t>
            </w:r>
          </w:p>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 </w:t>
            </w:r>
          </w:p>
          <w:p>
            <w:pPr>
              <w:pStyle w:val="BodyText"/>
              <w:numPr>
                <w:ilvl w:val="0"/>
                <w:numId w:val="13"/>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Revenue concentration with poor diversification causing seasonality and low retention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numPr>
                <w:ilvl w:val="0"/>
                <w:numId w:val="14"/>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Revenue concentration and volatility</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 heavy dependence on single events (e.g., Humanity Walk/fundraising) can cause cash shortfalls if an event under-performs or is cancelled. </w:t>
            </w:r>
          </w:p>
          <w:p>
            <w:pPr>
              <w:pStyle w:val="BodyText"/>
              <w:numPr>
                <w:ilvl w:val="0"/>
                <w:numId w:val="14"/>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Receipt completeness and traceability failures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 missing receipt details or missing MPESA/Paybill references increase risk of mis-posting, revenue leakage and misstatement of branch income. </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numPr>
                <w:ilvl w:val="0"/>
                <w:numId w:val="15"/>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Diversify income &amp; set branch targets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 require each branch to prepare a simple income diversification plan and quarterly targets (minimum % from non-fundraising IGAs). Use retention target (e.g., 25%) as a KPI tied to branch reporting. </w:t>
            </w:r>
          </w:p>
          <w:p>
            <w:pPr>
              <w:pStyle w:val="BodyText"/>
              <w:numPr>
                <w:ilvl w:val="0"/>
                <w:numId w:val="15"/>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Strengthen receipt controls and ERP posting rules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 mandate: all receipts (including MPESA/paybill) must include transaction reference in ERP, complete payer details and be posted as stipulated in the finance manual. Disallow “banked on behalf of customer” practice except with pre-approved exceptions. </w:t>
            </w:r>
          </w:p>
          <w:p>
            <w:pPr>
              <w:pStyle w:val="BodyText"/>
              <w:numPr>
                <w:ilvl w:val="0"/>
                <w:numId w:val="15"/>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Formal monitoring and concentration alerts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 implement a monthly regional dashboard highlighting branches with &gt;50%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revenue from a single source and trigger a review/action plan when the retention or diversification thresholds are breached. </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6" w:name="_Toc1033940377"/>
            <w:r>
              <w:rPr/>
              <w:t xml:space="preserve"> 003 Weaknesses in Expenditure Authorisation, Payroll &amp; Supporting Documentation</w:t>
            </w:r>
            <w:bookmarkEnd w:id="6"/>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Assess the effectiveness of Internal controls over I&amp;E</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RFO and CCs</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October 17,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Internal Audit Review of NRR Branch Operations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numPr>
                <w:ilvl w:val="0"/>
                <w:numId w:val="1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Payroll &amp; HR (expenses)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—treated as branch expenditure: </w:t>
            </w:r>
          </w:p>
          <w:p>
            <w:pPr>
              <w:pStyle w:val="BodyText"/>
              <w:numPr>
                <w:ilvl w:val="1"/>
                <w:numId w:val="16"/>
              </w:numPr>
              <w:spacing w:before="120" w:after="24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Volunteer engagement gaps: Nandi and West Pokot have volunteers engaged as a finance assistant and supply chain assistant without agreements or compensation terms.  </w:t>
            </w:r>
          </w:p>
          <w:p>
            <w:pPr>
              <w:pStyle w:val="BodyText"/>
              <w:numPr>
                <w:ilvl w:val="1"/>
                <w:numId w:val="16"/>
              </w:numPr>
              <w:spacing w:before="120" w:after="24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Contract management: Elgeyo’s county finance assistant contract is available; Trans Nzoia needs casuals to sign the Code of Conduct/PSEAH. </w:t>
            </w:r>
          </w:p>
          <w:p>
            <w:pPr>
              <w:pStyle w:val="BodyText"/>
              <w:numPr>
                <w:ilvl w:val="0"/>
                <w:numId w:val="1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Payment vouchers (PVs)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p>
            <w:pPr>
              <w:pStyle w:val="BodyText"/>
              <w:numPr>
                <w:ilvl w:val="1"/>
                <w:numId w:val="16"/>
              </w:numPr>
              <w:spacing w:before="120" w:after="24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Many PVs are properly authorized (Finance Assist → CC → Treasurer → Chair). But some PVs lacked essential support (e.g., memo/ToR/attendance missing for an instance where supplies/refreshments were purchased (PV25-058 Turkana), and no copy of ToR, attendance list, or photos from the event. Another case is that of PV25-036 in Uasin Gishu; payment of salaries did not have supporting documentation, including a schedule of those being paid, their contracts, or a memo authorizing the same. </w:t>
            </w:r>
          </w:p>
          <w:p>
            <w:pPr>
              <w:pStyle w:val="BodyText"/>
              <w:numPr>
                <w:ilvl w:val="0"/>
                <w:numId w:val="1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Procurement: </w:t>
            </w:r>
          </w:p>
          <w:p>
            <w:pPr>
              <w:pStyle w:val="BodyText"/>
              <w:numPr>
                <w:ilvl w:val="1"/>
                <w:numId w:val="16"/>
              </w:numPr>
              <w:spacing w:before="120" w:after="24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Some large expenditures (vehicle purchases by branches such as Uasin Gishu and Elgeyo Marakwet and construction in Turkana) were adequately documented and coordinated with HQ—showing procurement can work well when centralized oversight exists. </w:t>
            </w:r>
          </w:p>
          <w:p>
            <w:pPr>
              <w:pStyle w:val="BodyText"/>
              <w:numPr>
                <w:ilvl w:val="0"/>
                <w:numId w:val="1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Travel, advances &amp; mission reports </w:t>
            </w:r>
          </w:p>
          <w:p>
            <w:pPr>
              <w:pStyle w:val="BodyText"/>
              <w:numPr>
                <w:ilvl w:val="1"/>
                <w:numId w:val="16"/>
              </w:numPr>
              <w:spacing w:before="120" w:after="24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Several travel claims were not raised in the ERP across branches reviewed</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and some PVs lacked mission reports (PV25/029, PV25/018), creating insufficient evidence for travel reimbursements. </w:t>
            </w:r>
          </w:p>
          <w:p>
            <w:pPr>
              <w:pStyle w:val="BodyText"/>
              <w:numPr>
                <w:ilvl w:val="0"/>
                <w:numId w:val="1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Assets &amp; inventory </w:t>
            </w:r>
          </w:p>
          <w:p>
            <w:pPr>
              <w:pStyle w:val="BodyText"/>
              <w:numPr>
                <w:ilvl w:val="1"/>
                <w:numId w:val="16"/>
              </w:numPr>
              <w:spacing w:before="120" w:after="24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Asset registers exist, but there are cases of incomplete tagging (e.g., furniture and assets not tagged), obsolete equipment present (Nandi), and disposal lists waiting for NEC approval. </w:t>
            </w:r>
          </w:p>
          <w:p>
            <w:pPr>
              <w:pStyle w:val="BodyText"/>
              <w:numPr>
                <w:ilvl w:val="1"/>
                <w:numId w:val="16"/>
              </w:numPr>
              <w:spacing w:before="120" w:after="24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Trans Nzoia Warehouse &amp; inventory records are generally in place, but bin-card updating and physical arrangement need improvement; branches should consider charging storage as an IGA when storing third-party goods. </w:t>
            </w:r>
          </w:p>
          <w:p>
            <w:pPr>
              <w:pStyle w:val="BodyText"/>
              <w:numPr>
                <w:ilvl w:val="0"/>
                <w:numId w:val="16"/>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Cross-cutting issue</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PV support/documentation gaps (missing ToRs, contracts, attendance lists) and late bank reconciliations materially increase exposure to unauthorized/ineligible payments and non-compliance.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Weak enforcement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numPr>
                <w:ilvl w:val="0"/>
                <w:numId w:val="17"/>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Unauthorized or ineligible expenditures &amp; non-compliance</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 missing contracts/ToRs/attendance or absent mission reports create risk of payments for unverified goods/services or ghost costs (volunteers/consultants). </w:t>
            </w:r>
          </w:p>
          <w:p>
            <w:pPr>
              <w:pStyle w:val="BodyText"/>
              <w:numPr>
                <w:ilvl w:val="0"/>
                <w:numId w:val="17"/>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Payroll &amp; statutory compliance risk</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 failure to apply statutory deductions or to maintain contracts/engagement terms for staff/volunteers can lead to tax and labour law breaches and reputational/financial penalties. </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numPr>
                <w:ilvl w:val="0"/>
                <w:numId w:val="18"/>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Enforce full supporting documentation for all PVs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—require a checklist (contract/ToR/attendance/mission report/check copy) attached to every PV above a defined threshold and spot-check lower-value PVs. Payments missing mandatory docs → hold payment pending escalation to RFO. </w:t>
            </w:r>
          </w:p>
          <w:p>
            <w:pPr>
              <w:pStyle w:val="BodyText"/>
              <w:numPr>
                <w:ilvl w:val="0"/>
                <w:numId w:val="18"/>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Standardize payroll and volunteer engagement controls</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 (a) require signed written contracts/engagement forms for every paid worker and every volunteer pre-engagement (with Code of Conduct and PSEAH acknowledgement), (b) mandatory verification that statutory deductions are applied before payroll is approved; the regional office to perform monthly payroll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compliance reviews. </w:t>
            </w:r>
          </w:p>
          <w:p>
            <w:pPr>
              <w:pStyle w:val="BodyText"/>
              <w:numPr>
                <w:ilvl w:val="0"/>
                <w:numId w:val="18"/>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Timely bank reconciliations and advance/claims policy</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—adhere to the finance policy and manual for reconciliations (e.g., completed and approved within 15 working days of month end).  </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7" w:name="_Toc1393945541"/>
            <w:r>
              <w:rPr/>
              <w:t xml:space="preserve"> 004 Persistent Partial Remediation of Prior Audit Findings → Elevated Financial, Compliance and Governance Risk in North Rift Region</w:t>
            </w:r>
            <w:bookmarkEnd w:id="7"/>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Follow up of outstanding recommendations from previous audit</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HoR, RFO and CCs</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October 17,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Follow-up of prior external and internal audit findings across North Rift Region (NRR) shows systemic partial remediation: some items have been closed administratively, others remain open, and several controls are inconsistently applied across branches. The net effect is an environment where historic weaknesses continue to reappear or remain exposed.</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Key, verifiable observations: </w:t>
            </w:r>
          </w:p>
          <w:p>
            <w:pPr>
              <w:pStyle w:val="BodyText"/>
              <w:numPr>
                <w:ilvl w:val="0"/>
                <w:numId w:val="19"/>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Long-outstanding receivables: Significant payables/receivables remain aged &gt;90 days across multiple branches (West Pokot, Bungoma, Uasin Gishu, Turkana, plus region and EMC). Management plan: follow up on project mileages and propose write-offs for Q3 board — action pending (Owner: RFO; status: Open). </w:t>
            </w:r>
          </w:p>
          <w:p>
            <w:pPr>
              <w:pStyle w:val="BodyText"/>
              <w:numPr>
                <w:ilvl w:val="0"/>
                <w:numId w:val="19"/>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Incomplete fixed asset register: Registers across branches omit purchase cost, acquisition dates, depreciation and full tagging (West Pokot, Bungoma, Uasin Gishu, Turkana, Trans Nzoia, Nandi). Region has advertised for asset valuation services; exercise pending (Owner: RFO/CC/HOR; status: Open). </w:t>
            </w:r>
          </w:p>
          <w:p>
            <w:pPr>
              <w:pStyle w:val="BodyText"/>
              <w:numPr>
                <w:ilvl w:val="0"/>
                <w:numId w:val="19"/>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 title deeds for branch land: Several branches (Elgeyo Marakwet, Nandi, West Pokot, Regional Office) lack title deeds. HQ assisting and payments for surveying are underway—no titles yet (Owner: RFO and CCs; status: Open). </w:t>
            </w:r>
          </w:p>
          <w:p>
            <w:pPr>
              <w:pStyle w:val="BodyText"/>
              <w:numPr>
                <w:ilvl w:val="0"/>
                <w:numId w:val="19"/>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Accounting control weaknesses: Journal number gaps (previously detected) have been addressed via system configuration (Closed). Non-balancing journals were remedied (Closed). An undisclosed bank account was identified during audit but is now classified as project-restricted and excluded pending bank confirmation (Closed). </w:t>
            </w:r>
          </w:p>
          <w:p>
            <w:pPr>
              <w:pStyle w:val="BodyText"/>
              <w:numPr>
                <w:ilvl w:val="0"/>
                <w:numId w:val="19"/>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Related party accounting corrected: Thread and Ink Limited transactions were separated into its own Navision books (Closed). </w:t>
            </w:r>
          </w:p>
          <w:p>
            <w:pPr>
              <w:pStyle w:val="BodyText"/>
              <w:numPr>
                <w:ilvl w:val="0"/>
                <w:numId w:val="19"/>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Income &amp; expenditure control gaps: Delayed ERP postings, classification issues for Humanity Power Walk (HPW), and inconsistent HPW vote heads across branches (NRR internal audit: status Open). </w:t>
            </w:r>
          </w:p>
          <w:p>
            <w:pPr>
              <w:pStyle w:val="BodyText"/>
              <w:numPr>
                <w:ilvl w:val="0"/>
                <w:numId w:val="19"/>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Procurement and procurement-role gaps: Works procurement gaps and non-prequalified suppliers (Bungoma) were remediated with training and manual dissemination (Closed), but branch compliance maturity varies. </w:t>
            </w:r>
          </w:p>
          <w:p>
            <w:pPr>
              <w:pStyle w:val="BodyText"/>
              <w:numPr>
                <w:ilvl w:val="0"/>
                <w:numId w:val="19"/>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Volunteers performing finance/procurement: Volunteers filling finance/procurement roles (Bungoma, West Pokot, Nandi, EMC); Elgeyo CC performing operational and finance duties (SoD issues). Management committed to recruit and formalize roles but many branches remain exposed (Owner: HOR/RFO; status: Open).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causes:</w:t>
            </w:r>
          </w:p>
          <w:p>
            <w:pPr>
              <w:pStyle w:val="BodyText"/>
              <w:numPr>
                <w:ilvl w:val="0"/>
                <w:numId w:val="19"/>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Capacity and capability gaps in finance and procurement roles causing SoD breaches, and delayed postings.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numPr>
                <w:ilvl w:val="0"/>
                <w:numId w:val="2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Material misstatement &amp; financial liquidity risk </w:t>
            </w:r>
          </w:p>
          <w:p>
            <w:pPr>
              <w:pStyle w:val="BodyText"/>
              <w:numPr>
                <w:ilvl w:val="1"/>
                <w:numId w:val="20"/>
              </w:numPr>
              <w:spacing w:before="120" w:after="24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n"/>
                <w:iCs w:val="off"/>
                <w:smallCaps w:val="off"/>
                <w:strike w:val="off"/>
                <w:dstrike w:val="off"/>
                <w:outline w:val="off"/>
                <w:shadow w:val="off"/>
                <w:vanish w:val="off"/>
                <w:color w:val="070F13" w:themeColor="text1"/>
                <w:spacing w:val="0"/>
                <w:w w:val="100"/>
                <w:kern w:val="0"/>
                <w:position w:val="0"/>
                <w:sz w:val="24"/>
                <w:szCs w:val="24"/>
                <w:vertAlign w:val="baseline"/>
              </w:rPr>
              <w:t xml:space="preserve">Why:</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Aged receivables/payables (&gt;90 days) + incomplete asset records → misstated balances and potential liquidity strain. </w:t>
            </w:r>
          </w:p>
          <w:p>
            <w:pPr>
              <w:pStyle w:val="BodyText"/>
              <w:numPr>
                <w:ilvl w:val="1"/>
                <w:numId w:val="20"/>
              </w:numPr>
              <w:spacing w:before="120" w:after="24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n"/>
                <w:iCs w:val="off"/>
                <w:smallCaps w:val="off"/>
                <w:strike w:val="off"/>
                <w:dstrike w:val="off"/>
                <w:outline w:val="off"/>
                <w:shadow w:val="off"/>
                <w:vanish w:val="off"/>
                <w:color w:val="070F13" w:themeColor="text1"/>
                <w:spacing w:val="0"/>
                <w:w w:val="100"/>
                <w:kern w:val="0"/>
                <w:position w:val="0"/>
                <w:sz w:val="24"/>
                <w:szCs w:val="24"/>
                <w:vertAlign w:val="baseline"/>
              </w:rPr>
              <w:t xml:space="preserve">Branches/evidence:</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West Pokot, Uasin Gishu, Turkana ageing issues; asset register gaps region-wide. </w:t>
            </w:r>
          </w:p>
          <w:p>
            <w:pPr>
              <w:pStyle w:val="BodyText"/>
              <w:numPr>
                <w:ilvl w:val="0"/>
                <w:numId w:val="2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Operational disruption &amp; supplier friction </w:t>
            </w:r>
          </w:p>
          <w:p>
            <w:pPr>
              <w:pStyle w:val="BodyText"/>
              <w:numPr>
                <w:ilvl w:val="1"/>
                <w:numId w:val="20"/>
              </w:numPr>
              <w:spacing w:before="120" w:after="24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n"/>
                <w:iCs w:val="off"/>
                <w:smallCaps w:val="off"/>
                <w:strike w:val="off"/>
                <w:dstrike w:val="off"/>
                <w:outline w:val="off"/>
                <w:shadow w:val="off"/>
                <w:vanish w:val="off"/>
                <w:color w:val="070F13" w:themeColor="text1"/>
                <w:spacing w:val="0"/>
                <w:w w:val="100"/>
                <w:kern w:val="0"/>
                <w:position w:val="0"/>
                <w:sz w:val="24"/>
                <w:szCs w:val="24"/>
                <w:vertAlign w:val="baseline"/>
              </w:rPr>
              <w:t xml:space="preserve">Why:</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Persistent unpaid balances and procurement weaknesses may lead suppliers to withdraw credit or refuse service, hampering program delivery. </w:t>
            </w:r>
          </w:p>
          <w:p>
            <w:pPr>
              <w:pStyle w:val="BodyText"/>
              <w:numPr>
                <w:ilvl w:val="1"/>
                <w:numId w:val="20"/>
              </w:numPr>
              <w:spacing w:before="120" w:after="24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n"/>
                <w:iCs w:val="off"/>
                <w:smallCaps w:val="off"/>
                <w:strike w:val="off"/>
                <w:dstrike w:val="off"/>
                <w:outline w:val="off"/>
                <w:shadow w:val="off"/>
                <w:vanish w:val="off"/>
                <w:color w:val="070F13" w:themeColor="text1"/>
                <w:spacing w:val="0"/>
                <w:w w:val="100"/>
                <w:kern w:val="0"/>
                <w:position w:val="0"/>
                <w:sz w:val="24"/>
                <w:szCs w:val="24"/>
                <w:vertAlign w:val="baseline"/>
              </w:rPr>
              <w:t xml:space="preserve">Branches/evidence:</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Multiple branches with long-outstanding payables; historical procurement gaps in Bungoma. </w:t>
            </w:r>
          </w:p>
          <w:p>
            <w:pPr>
              <w:pStyle w:val="BodyText"/>
              <w:numPr>
                <w:ilvl w:val="0"/>
                <w:numId w:val="20"/>
              </w:numPr>
              <w:spacing w:before="120" w:after="24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Compliance, legal &amp; reputational exposure </w:t>
            </w:r>
          </w:p>
          <w:p>
            <w:pPr>
              <w:pStyle w:val="BodyText"/>
              <w:numPr>
                <w:ilvl w:val="1"/>
                <w:numId w:val="20"/>
              </w:numPr>
              <w:spacing w:before="120" w:after="24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n"/>
                <w:iCs w:val="off"/>
                <w:smallCaps w:val="off"/>
                <w:strike w:val="off"/>
                <w:dstrike w:val="off"/>
                <w:outline w:val="off"/>
                <w:shadow w:val="off"/>
                <w:vanish w:val="off"/>
                <w:color w:val="070F13" w:themeColor="text1"/>
                <w:spacing w:val="0"/>
                <w:w w:val="100"/>
                <w:kern w:val="0"/>
                <w:position w:val="0"/>
                <w:sz w:val="24"/>
                <w:szCs w:val="24"/>
                <w:vertAlign w:val="baseline"/>
              </w:rPr>
              <w:t xml:space="preserve">Why:</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Missing title deeds, volunteers handling finance, and prior undisclosed bank accounts/related-party mispostings create regulatory/tax and reputational risk. </w:t>
            </w:r>
          </w:p>
          <w:p>
            <w:pPr>
              <w:pStyle w:val="BodyText"/>
              <w:numPr>
                <w:ilvl w:val="1"/>
                <w:numId w:val="20"/>
              </w:numPr>
              <w:spacing w:before="120" w:after="24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n"/>
                <w:iCs w:val="off"/>
                <w:smallCaps w:val="off"/>
                <w:strike w:val="off"/>
                <w:dstrike w:val="off"/>
                <w:outline w:val="off"/>
                <w:shadow w:val="off"/>
                <w:vanish w:val="off"/>
                <w:color w:val="070F13" w:themeColor="text1"/>
                <w:spacing w:val="0"/>
                <w:w w:val="100"/>
                <w:kern w:val="0"/>
                <w:position w:val="0"/>
                <w:sz w:val="24"/>
                <w:szCs w:val="24"/>
                <w:vertAlign w:val="baseline"/>
              </w:rPr>
              <w:t xml:space="preserve">Branches/evidence:</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Elgeyo Marakwet (no deed), volunteers in Bungoma/West Pokot/Nandi, Thread &amp; Ink corrective action history. </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Heading3"/>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Create a Regional Remediation &amp; Evidence-Closure Board (RRB) — Immediate: 30 days </w:t>
            </w:r>
          </w:p>
          <w:p>
            <w:pPr>
              <w:pStyle w:val="BodyText"/>
              <w:numPr>
                <w:ilvl w:val="1"/>
                <w:numId w:val="21"/>
              </w:numPr>
              <w:spacing w:before="120" w:after="12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What: A small decision board (HOR, RFO, Systems Auditor, 2 CCs) that meets weekly to validate evidence before marking items closed. Use a simple evidence checklist for each finding (e.g., valuation report, scanned deed, bank statement, signed contract, ERP posting snapshot). </w:t>
            </w:r>
          </w:p>
          <w:p>
            <w:pPr>
              <w:pStyle w:val="BodyText"/>
              <w:numPr>
                <w:ilvl w:val="1"/>
                <w:numId w:val="21"/>
              </w:numPr>
              <w:spacing w:before="120" w:after="12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Owner: HOR (chair) / RFO (secretariat) </w:t>
            </w:r>
          </w:p>
          <w:p>
            <w:pPr>
              <w:pStyle w:val="BodyText"/>
              <w:numPr>
                <w:ilvl w:val="1"/>
                <w:numId w:val="21"/>
              </w:numPr>
              <w:spacing w:before="120" w:after="12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Why: Prevents administrative "tick-boxing" and enforces consistent, auditable closure. </w:t>
            </w:r>
          </w:p>
          <w:p>
            <w:pPr>
              <w:pStyle w:val="BodyText"/>
              <w:numPr>
                <w:ilvl w:val="1"/>
                <w:numId w:val="21"/>
              </w:numPr>
              <w:spacing w:before="120" w:after="12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Deliverable (30 days): RRB charter + evidence checklist + first 10-item closure pack submitted. </w:t>
            </w:r>
          </w:p>
          <w:p>
            <w:pPr>
              <w:pStyle w:val="BodyText"/>
              <w:numPr>
                <w:ilvl w:val="0"/>
                <w:numId w:val="21"/>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p>
            <w:pPr>
              <w:pStyle w:val="Heading3"/>
              <w:keepNext w:val="off"/>
              <w:keepLines w:val="off"/>
              <w:spacing w:before="120" w:after="120"/>
              <w:ind w:left="113"/>
              <w:rPr>
                <w:rFonts w:asciiTheme="minorHAnsi" w:hAnsiTheme="minorHAnsi" w:cstheme="minorBidi" w:eastAsiaTheme="minorHAnsi"/>
                <w:b w:val="off"/>
                <w:bCs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Prioritise &amp; Solve the Top 5 High-Impact Open Items — 60–90 days </w:t>
            </w:r>
          </w:p>
          <w:p>
            <w:pPr>
              <w:pStyle w:val="BodyText"/>
              <w:numPr>
                <w:ilvl w:val="1"/>
                <w:numId w:val="21"/>
              </w:numPr>
              <w:spacing w:before="120" w:after="12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Priority list: (1) Receivables &gt; 90 days (write-off proposals/recovery plan), (2) Fixed asset valuation and register update, (3) Title deed acquisition roadmap for branches with land, (4) SoD/volunteer remediation (contracts &amp; role reassignments), (5) Standardize HPW vote heads &amp; ERP posting rules. </w:t>
            </w:r>
          </w:p>
          <w:p>
            <w:pPr>
              <w:pStyle w:val="BodyText"/>
              <w:numPr>
                <w:ilvl w:val="1"/>
                <w:numId w:val="21"/>
              </w:numPr>
              <w:spacing w:before="120" w:after="12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Owner(s): RFO (receivables, assets), HOR/HR (SoD/volunteers), Systems Auditor (ERP/journal controls) </w:t>
            </w:r>
          </w:p>
          <w:p>
            <w:pPr>
              <w:pStyle w:val="BodyText"/>
              <w:numPr>
                <w:ilvl w:val="1"/>
                <w:numId w:val="21"/>
              </w:numPr>
              <w:spacing w:before="120" w:after="12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Why: These items carry the largest financial/legal impact and are needed to stabilize month-end/annual reporting. </w:t>
            </w:r>
          </w:p>
          <w:p>
            <w:pPr>
              <w:pStyle w:val="BodyText"/>
              <w:numPr>
                <w:ilvl w:val="1"/>
                <w:numId w:val="21"/>
              </w:numPr>
              <w:spacing w:before="120" w:after="12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Deliverables (60–90 days): Recover/write-off proposals for top aged items; completed asset valuation uploaded to Navision; deed application status report; evidence of volunteer engagement contracts or staff recruitment; HPW vote head directive implemented in ERP. </w:t>
            </w:r>
          </w:p>
          <w:p>
            <w:pPr>
              <w:pStyle w:val="BodyText"/>
              <w:numPr>
                <w:ilvl w:val="0"/>
                <w:numId w:val="21"/>
              </w:numPr>
              <w:spacing w:before="120" w:after="120"/>
              <w:ind w:left="72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p>
            <w:pPr>
              <w:pStyle w:val="Heading3"/>
              <w:keepNext w:val="off"/>
              <w:keepLines w:val="off"/>
              <w:spacing w:before="120" w:after="120"/>
              <w:ind w:left="113"/>
              <w:rPr>
                <w:rFonts w:asciiTheme="minorHAnsi" w:hAnsiTheme="minorHAnsi" w:cstheme="minorBidi" w:eastAsiaTheme="minorHAnsi"/>
                <w:b w:val="off"/>
                <w:bCs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Institutionalise Prevention Controls—Medium term: 90–180 days </w:t>
            </w:r>
          </w:p>
          <w:p>
            <w:pPr>
              <w:pStyle w:val="BodyText"/>
              <w:numPr>
                <w:ilvl w:val="1"/>
                <w:numId w:val="21"/>
              </w:numPr>
              <w:spacing w:before="120" w:after="12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What: Enforce monthly reconciliation policy provisions (15 working days), automatic journal numbering + monthly gap report, mandatory PV support checklist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(contract/ToR/attendance/cheque copy), volunteer exclusion rule from critical finance/procurement approvals, and mandatory posting timelines for income (MPESA/paybill references). </w:t>
            </w:r>
          </w:p>
          <w:p>
            <w:pPr>
              <w:pStyle w:val="BodyText"/>
              <w:numPr>
                <w:ilvl w:val="1"/>
                <w:numId w:val="21"/>
              </w:numPr>
              <w:spacing w:before="120" w:after="12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Owner: Systems Auditor (technical controls), RFO (procedural), HOR (HR/governance) </w:t>
            </w:r>
          </w:p>
          <w:p>
            <w:pPr>
              <w:pStyle w:val="BodyText"/>
              <w:numPr>
                <w:ilvl w:val="1"/>
                <w:numId w:val="21"/>
              </w:numPr>
              <w:spacing w:before="120" w:after="12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Why: Stops recurrence by embedding controls, not just curing symptoms. </w:t>
            </w:r>
          </w:p>
          <w:p>
            <w:pPr>
              <w:pStyle w:val="BodyText"/>
              <w:numPr>
                <w:ilvl w:val="1"/>
                <w:numId w:val="21"/>
              </w:numPr>
              <w:spacing w:before="120" w:after="120"/>
              <w:ind w:left="1080" w:right="0" w:hanging="360"/>
              <w:contextualSpacing/>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Deliverables (90–180 days): Updated SOPs, Navision configuration changes, and first 3 months of compliance reports showing SLA adherence. </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p>
      <w:pPr>
        <w:pStyle w:val="BodyText"/>
        <w:rPr>
          <w:i w:val="off"/>
          <w:iCs w:val="off"/>
          <w:smallCaps w:val="off"/>
          <w:strike w:val="off"/>
          <w:dstrike w:val="off"/>
          <w:outline w:val="off"/>
          <w:shadow w:val="off"/>
          <w:vanish w:val="off"/>
          <w:spacing w:val="0"/>
          <w:w w:val="100"/>
          <w:kern w:val="0"/>
          <w:position w:val="0"/>
          <w:sz w:val="20"/>
          <w:szCs w:val="20"/>
          <w:vertAlign w:val="baseline"/>
        </w:rPr>
      </w:pPr>
      <w:r>
        <w:rPr>
          <w:rFonts w:ascii="Times"/>
          <w:b w:val="off"/>
        </w:rPr>
        <w:t xml:space="preserve"> </w:t>
      </w:r>
      <w:r>
        <w:rPr/>
        <w:t xml:space="preserve"> </w:t>
      </w:r>
    </w:p>
    <w:sectPr>
      <w:type w:val="nextPage"/>
      <w:pgSz w:w="15840" w:h="12240" w:orient="landscape"/>
      <w:pgMar w:top="720" w:right="720" w:bottom="720" w:left="720" w:header="397" w:footer="397" w:gutter="0"/>
      <w:cols w:space="720"/>
      <w:textDirection w:val="lrTb"/>
      <w:bidi w:val="off"/>
    </w:sectPr>
  </w:body>
</w:document>
</file>

<file path=word/fontTable.xml><?xml version="1.0" encoding="utf-8"?>
<w:fonts xmlns:r="http://schemas.openxmlformats.org/officeDocument/2006/relationships" xmlns:w="http://schemas.openxmlformats.org/wordprocessingml/2006/main">
  <w:font w:name="Arial">
    <w:charset w:val="00"/>
    <w:family w:val="swiss"/>
    <w:pitch w:val="variable"/>
  </w:font>
  <w:font w:name="Calibri">
    <w:panose1 w:val="020F0502020204030204"/>
    <w:charset w:val="00"/>
    <w:family w:val="swiss"/>
    <w:pitch w:val="variable"/>
  </w:font>
  <w:font w:name="Cambria">
    <w:panose1 w:val="02040503050406030204"/>
    <w:charset w:val="00"/>
    <w:family w:val="roman"/>
    <w:pitch w:val="variable"/>
  </w:font>
  <w:font w:name="Courier New">
    <w:panose1 w:val="02070309020205020404"/>
    <w:charset w:val="00"/>
    <w:family w:val="modern"/>
    <w:pitch w:val="fixed"/>
  </w:font>
  <w:font w:name="Lato">
    <w:altName w:val="Segoe UI"/>
    <w:charset w:val="00"/>
    <w:family w:val="swiss"/>
    <w:pitch w:val="variable"/>
  </w:font>
  <w:font w:name="Lato-Light">
    <w:altName w:val="Times New Roman"/>
    <w:charset w:val="00"/>
    <w:family w:val="modern"/>
    <w:pitch w:val="variable"/>
  </w:font>
  <w:font w:name="MS Gothic">
    <w:altName w:val="ＭＳ ゴシック"/>
    <w:panose1 w:val="020B0609070205080204"/>
    <w:charset w:val="80"/>
    <w:family w:val="modern"/>
    <w:pitch w:val="fixed"/>
  </w:font>
  <w:font w:name="MS Mincho">
    <w:altName w:val="ＭＳ 明朝"/>
    <w:panose1 w:val="02020609040205080304"/>
    <w:charset w:val="80"/>
    <w:family w:val="modern"/>
    <w:pitch w:val="fixed"/>
  </w:font>
  <w:font w:name="Malgun Gothic">
    <w:charset w:val="81"/>
    <w:family w:val="roman"/>
    <w:pitch w:val="default"/>
  </w:font>
  <w:font w:name="PMingLiU">
    <w:charset w:val="88"/>
    <w:family w:val="roman"/>
    <w:pitch w:val="default"/>
  </w:font>
  <w:font w:name="SimSun">
    <w:charset w:val="86"/>
    <w:family w:val="roman"/>
    <w:pitch w:val="default"/>
  </w:font>
  <w:font w:name="Symbol">
    <w:panose1 w:val="05050102010706020507"/>
    <w:charset w:val="02"/>
    <w:family w:val="roman"/>
    <w:pitch w:val="variable"/>
  </w:font>
  <w:font w:name="Tahoma">
    <w:panose1 w:val="020B0604030504040204"/>
    <w:charset w:val="00"/>
    <w:family w:val="swiss"/>
    <w:pitch w:val="variable"/>
  </w:font>
  <w:font w:name="Times">
    <w:altName w:val="Times New Roman"/>
    <w:panose1 w:val="02020603050405020304"/>
    <w:charset w:val="00"/>
    <w:family w:val="roman"/>
    <w:pitch w:val="variable"/>
  </w:font>
  <w:font w:name="Times New Roman">
    <w:panose1 w:val="02020603050405020304"/>
    <w:charset w:val="00"/>
    <w:family w:val="roman"/>
    <w:pitch w:val="variable"/>
  </w:font>
  <w:font w:name="Verdana">
    <w:panose1 w:val="020B0604030504040204"/>
    <w:charset w:val="00"/>
    <w:family w:val="swiss"/>
    <w:pitch w:val="variable"/>
  </w:font>
  <w:font w:name="Wingdings">
    <w:panose1 w:val="05000000000000000000"/>
    <w:charset w:val="02"/>
    <w:family w:val="moder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tabs>
        <w:tab w:val="center" w:leader="none" w:pos="7230"/>
        <w:tab w:val="right" w:leader="none" w:pos="14317"/>
      </w:tabs>
      <w:rPr>
        <w:rFonts w:asciiTheme="minorHAnsi" w:hAnsiTheme="minorHAnsi"/>
        <w:color w:val="53529F"/>
        <w:sz w:val="16"/>
        <w:szCs w:val="16"/>
      </w:rPr>
    </w:pPr>
    <w:r>
      <w:drawing>
        <wp:anchor distT="0" distB="0" distL="114300" distR="114300" simplePos="0" relativeHeight="17408" behindDoc="0" layoutInCell="1" allowOverlap="0" locked="0">
          <wp:simplePos x="0" y="0"/>
          <wp:positionH relativeFrom="page">
            <wp:posOffset>3126740</wp:posOffset>
          </wp:positionH>
          <wp:positionV relativeFrom="page">
            <wp:posOffset>6944995</wp:posOffset>
          </wp:positionV>
          <wp:extent cx="3506470" cy="828040"/>
          <wp:effectExtent l="0" t="0" r="0" b="0"/>
          <wp:wrapNone/>
          <wp:docPr id="2" name="Shape 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3506498" cy="828000"/>
                  </a:xfrm>
                  <a:prstGeom xmlns:a="http://schemas.openxmlformats.org/drawingml/2006/main" prst="rect">
                    <a:avLst/>
                  </a:prstGeom>
                  <a:solidFill xmlns:a="http://schemas.openxmlformats.org/drawingml/2006/main">
                    <a:srgbClr val="FFFFFF">
                      <a:alpha val="0"/>
                    </a:srgbClr>
                  </a:solidFill>
                  <a:ln xmlns:a="http://schemas.openxmlformats.org/drawingml/2006/main" w="9525">
                    <a:noFill/>
                    <a:miter lim="800000"/>
                    <a:headEnd/>
                    <a:tailEnd/>
                  </a:ln>
                </wps:spPr>
                <wps:txbx>
                  <w:txbxContent>
                    <w:p>
                      <w:pPr>
                        <w:jc w:val="center"/>
                        <w:rPr>
                          <w:rFonts w:asciiTheme="minorHAnsi" w:hAnsiTheme="minorHAnsi"/>
                          <w:color w:val="4A478A"/>
                          <w:sz w:val="16"/>
                          <w:szCs w:val="16"/>
                        </w:rPr>
                      </w:pPr>
                    </w:p>
                    <w:p>
                      <w:pPr>
                        <w:jc w:val="center"/>
                        <w:rPr/>
                      </w:pPr>
                      <w:r>
                        <w:drawing>
                          <wp:inline>
                            <wp:extent cx="565785" cy="360045"/>
                            <wp:docPr id="3" name="WR4" descr="WR4"/>
                            <a:graphic>
                              <a:graphicData uri="http://schemas.openxmlformats.org/drawingml/2006/picture">
                                <pic:pic xmlns:pic="http://schemas.openxmlformats.org/drawingml/2006/picture">
                                  <pic:nvPicPr>
                                    <pic:cNvPr id="4" name="WR4"/>
                                    <pic:cNvPicPr/>
                                  </pic:nvPicPr>
                                  <pic:blipFill>
                                    <a:blip r:embed="rId1"/>
                                    <a:stretch>
                                      <a:fillRect/>
                                    </a:stretch>
                                  </pic:blipFill>
                                  <pic:spPr>
                                    <a:xfrm>
                                      <a:off x="0" y="0"/>
                                      <a:ext cx="565785" cy="360045"/>
                                    </a:xfrm>
                                    <a:prstGeom prst="rect">
                                      <a:avLst/>
                                    </a:prstGeom>
                                  </pic:spPr>
                                </pic:pic>
                              </a:graphicData>
                            </a:graphic>
                          </wp:inline>
                        </w:drawing>
                      </w:r>
                    </w:p>
                  </w:txbxContent>
                </wps:txbx>
                <w10:wrap anchorx="page" anchory="page"/>
                <wps:bodyPr xmlns:wps="http://schemas.microsoft.com/office/word/2010/wordprocessingShape" rot="0" vert="horz" wrap="square" lIns="91440" tIns="45720" rIns="91440" bIns="45720" anchor="t" anchorCtr="0">
                  <a:noAutofit xmlns:a="http://schemas.openxmlformats.org/drawingml/2006/main"/>
                </wps:bodyPr>
              </wps:wsp>
            </a:graphicData>
          </a:graphic>
        </wp:anchor>
      </w:drawing>
    </w:r>
    <w:r>
      <w:rPr>
        <w:rFonts w:asciiTheme="minorHAnsi" w:hAnsiTheme="minorHAnsi"/>
        <w:color w:val="53529F"/>
        <w:sz w:val="16"/>
        <w:szCs w:val="16"/>
      </w:rPr>
      <w:t xml:space="preserve"> PRIVATE &amp; CONFIDENTIAL | Not Approved for Distribution Without Prior Approval </w:t>
    </w:r>
    <w:r>
      <w:rPr>
        <w:rFonts w:asciiTheme="minorHAnsi" w:hAnsiTheme="minorHAnsi"/>
        <w:color w:val="4A478A"/>
        <w:sz w:val="16"/>
        <w:szCs w:val="16"/>
      </w:rPr>
      <w:tab/>
    </w:r>
    <w:r>
      <w:rPr>
        <w:rFonts w:asciiTheme="minorHAnsi" w:hAnsiTheme="minorHAnsi"/>
        <w:color w:val="4A478A"/>
        <w:sz w:val="16"/>
        <w:szCs w:val="16"/>
      </w:rPr>
      <w:tab/>
    </w:r>
    <w:r>
      <w:rPr>
        <w:rFonts w:asciiTheme="minorHAnsi" w:hAnsiTheme="minorHAnsi"/>
        <w:b w:val="off"/>
        <w:color w:val="7F7F7F"/>
        <w:sz w:val="16"/>
        <w:szCs w:val="16"/>
      </w:rPr>
      <w:t xml:space="preserve">KRCS North Rift Region Spot check review 2 Report | Generated on April  2, 2026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PAGE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1</w:t>
    </w:r>
    <w:r>
      <w:rPr>
        <w:rFonts w:asciiTheme="minorHAnsi" w:hAnsiTheme="minorHAnsi"/>
        <w:b w:val="off"/>
        <w:color w:val="7F7F7F"/>
        <w:sz w:val="16"/>
        <w:szCs w:val="16"/>
      </w:rPr>
      <w:fldChar w:fldCharType="end"/>
    </w:r>
    <w:r>
      <w:rPr>
        <w:rFonts w:asciiTheme="minorHAnsi" w:hAnsiTheme="minorHAnsi"/>
        <w:b w:val="off"/>
        <w:color w:val="7F7F7F"/>
        <w:sz w:val="16"/>
        <w:szCs w:val="16"/>
      </w:rPr>
      <w:t xml:space="preserve"> /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NUMPAGES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16</w:t>
    </w:r>
    <w:r>
      <w:rPr>
        <w:rFonts w:asciiTheme="minorHAnsi" w:hAnsiTheme="minorHAnsi"/>
        <w:b w:val="off"/>
        <w:color w:val="7F7F7F"/>
        <w:sz w:val="16"/>
        <w:szCs w:val="16"/>
      </w:rPr>
      <w:fldChar w:fldCharType="end"/>
    </w:r>
    <w:r>
      <w:rPr>
        <w:rFonts w:asciiTheme="minorHAnsi" w:hAnsiTheme="minorHAnsi"/>
        <w:b w:val="off"/>
        <w:color w:val="FFFFFF" w:themeColor="background1"/>
        <w:sz w:val="16"/>
        <w:szCs w:val="16"/>
      </w:rPr>
      <w:t xml:space="preserve">X</w:t>
    </w:r>
    <w:r>
      <w:rPr>
        <w:rFonts w:asciiTheme="minorHAnsi" w:hAnsiTheme="minorHAnsi"/>
        <w:b w:val="off"/>
        <w:color w:val="7F7F7F"/>
        <w:sz w:val="16"/>
        <w:szCs w:val="16"/>
      </w:rPr>
      <w:t xml:space="preserve">  </w:t>
    </w:r>
    <w:r>
      <w:rPr>
        <w:rFonts w:asciiTheme="minorHAnsi" w:hAnsiTheme="minorHAnsi"/>
        <w:color w:val="4A478A"/>
        <w:sz w:val="16"/>
        <w:szCs w:val="16"/>
      </w:rP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footnote w:type="separator" w:id="-1">
    <w:p>
      <w:pPr>
        <w:rPr/>
      </w:pPr>
      <w:r>
        <w:separator/>
      </w:r>
    </w:p>
  </w:footnote>
  <w:footnote w:type="continuationSeparator" w:id="0">
    <w:p>
      <w:pPr>
        <w:rP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ind w:firstLine="426"/>
      <w:rPr/>
    </w:pPr>
    <w:r>
      <w:drawing>
        <wp:anchor distT="0" distB="0" distL="114300" distR="114300" simplePos="0" relativeHeight="16384" behindDoc="1" layoutInCell="1" allowOverlap="1" locked="0">
          <wp:simplePos x="0" y="0"/>
          <wp:positionH relativeFrom="column">
            <wp:posOffset>-194945</wp:posOffset>
          </wp:positionH>
          <wp:positionV relativeFrom="paragraph">
            <wp:posOffset>2540</wp:posOffset>
          </wp:positionV>
          <wp:extent cx="9533890" cy="6856096"/>
          <wp:effectExtent l="0" t="0" r="0" b="1905"/>
          <wp:wrapNone/>
          <wp:docPr id="1" name="darkerbg_1024.jpg" descr="darkerbg_1024.jpg"/>
          <a:graphic xmlns:a="http://schemas.openxmlformats.org/drawingml/2006/main">
            <a:graphicData uri="http://schemas.openxmlformats.org/drawingml/2006/picture">
              <pic:pic xmlns:pic="http://schemas.openxmlformats.org/drawingml/2006/picture">
                <pic:nvPicPr>
                  <pic:cNvPr id="0" name="darkerbg_1024.jpg"/>
                  <pic:cNvPicPr/>
                </pic:nvPicPr>
                <pic:blipFill>
                  <a:blip r:embed="rId2"/>
                  <a:stretch>
                    <a:fillRect/>
                  </a:stretch>
                </pic:blipFill>
                <pic:spPr xmlns:pic="http://schemas.openxmlformats.org/drawingml/2006/picture">
                  <a:xfrm xmlns:a="http://schemas.openxmlformats.org/drawingml/2006/main">
                    <a:off x="0" y="0"/>
                    <a:ext cx="9533890" cy="6856096"/>
                  </a:xfrm>
                  <a:prstGeom xmlns:a="http://schemas.openxmlformats.org/drawingml/2006/main"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PageHeading"/>
      <w:rPr>
        <w:b w:val="on"/>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 xmlns:wp="http://schemas.openxmlformats.org/drawingml/2006/wordprocessingDrawing" xmlns:w10="urn:schemas-microsoft-com:office:word" xmlns:w="http://schemas.openxmlformats.org/wordprocessingml/2006/main" xmlns:wne="http://schemas.microsoft.com/office/word/2006/wordml">
  <w:abstractNum w:abstractNumId="1">
    <w:multiLevelType w:val="multilevel"/>
    <w:tmpl w:val="4972058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
    <w:multiLevelType w:val="singleLevel"/>
    <w:tmpl w:val="8b1296d0"/>
    <w:lvl w:ilvl="0">
      <w:start w:val="1"/>
      <w:numFmt w:val="decimal"/>
      <w:lvlText w:val="%1."/>
      <w:lvlJc w:val="left"/>
      <w:pPr>
        <w:tabs>
          <w:tab w:val="num" w:pos="1492"/>
        </w:tabs>
        <w:ind w:left="1492"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3">
    <w:multiLevelType w:val="singleLevel"/>
    <w:tmpl w:val="25b29c12"/>
    <w:lvl w:ilvl="0">
      <w:start w:val="1"/>
      <w:numFmt w:val="decimal"/>
      <w:lvlText w:val="%1."/>
      <w:lvlJc w:val="left"/>
      <w:pPr>
        <w:tabs>
          <w:tab w:val="num" w:pos="1209"/>
        </w:tabs>
        <w:ind w:left="1209"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4">
    <w:multiLevelType w:val="singleLevel"/>
    <w:tmpl w:val="f78a1640"/>
    <w:lvl w:ilvl="0">
      <w:start w:val="1"/>
      <w:numFmt w:val="decimal"/>
      <w:lvlText w:val="%1."/>
      <w:lvlJc w:val="left"/>
      <w:pPr>
        <w:tabs>
          <w:tab w:val="num" w:pos="926"/>
        </w:tabs>
        <w:ind w:left="926"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5">
    <w:multiLevelType w:val="singleLevel"/>
    <w:tmpl w:val="ecc83b30"/>
    <w:lvl w:ilvl="0">
      <w:start w:val="1"/>
      <w:numFmt w:val="decimal"/>
      <w:lvlText w:val="%1."/>
      <w:lvlJc w:val="left"/>
      <w:pPr>
        <w:tabs>
          <w:tab w:val="num" w:pos="643"/>
        </w:tabs>
        <w:ind w:left="643"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6">
    <w:multiLevelType w:val="singleLevel"/>
    <w:tmpl w:val="1c0c3b48"/>
    <w:lvl w:ilvl="0">
      <w:start w:val="1"/>
      <w:numFmt w:val="bullet"/>
      <w:lvlText w:val=""/>
      <w:lvlJc w:val="left"/>
      <w:pPr>
        <w:tabs>
          <w:tab w:val="num" w:pos="1492"/>
        </w:tabs>
        <w:ind w:left="1492"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7">
    <w:multiLevelType w:val="singleLevel"/>
    <w:tmpl w:val="90fed928"/>
    <w:lvl w:ilvl="0">
      <w:start w:val="1"/>
      <w:numFmt w:val="bullet"/>
      <w:lvlText w:val=""/>
      <w:lvlJc w:val="left"/>
      <w:pPr>
        <w:tabs>
          <w:tab w:val="num" w:pos="1209"/>
        </w:tabs>
        <w:ind w:left="1209"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8">
    <w:multiLevelType w:val="singleLevel"/>
    <w:tmpl w:val="90dcc222"/>
    <w:lvl w:ilvl="0">
      <w:start w:val="1"/>
      <w:numFmt w:val="bullet"/>
      <w:lvlText w:val=""/>
      <w:lvlJc w:val="left"/>
      <w:pPr>
        <w:tabs>
          <w:tab w:val="num" w:pos="926"/>
        </w:tabs>
        <w:ind w:left="926"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9">
    <w:multiLevelType w:val="singleLevel"/>
    <w:tmpl w:val="1b2818c0"/>
    <w:lvl w:ilvl="0">
      <w:start w:val="1"/>
      <w:numFmt w:val="bullet"/>
      <w:lvlText w:val=""/>
      <w:lvlJc w:val="left"/>
      <w:pPr>
        <w:tabs>
          <w:tab w:val="num" w:pos="643"/>
        </w:tabs>
        <w:ind w:left="643"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0">
    <w:multiLevelType w:val="singleLevel"/>
    <w:tmpl w:val="1194a700"/>
    <w:lvl w:ilvl="0">
      <w:start w:val="1"/>
      <w:numFmt w:val="decimal"/>
      <w:lvlText w:val="%1."/>
      <w:lvlJc w:val="left"/>
      <w:pPr>
        <w:tabs>
          <w:tab w:val="num" w:pos="360"/>
        </w:tabs>
        <w:ind w:left="360"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1">
    <w:multiLevelType w:val="singleLevel"/>
    <w:tmpl w:val="bd8a0292"/>
    <w:lvl w:ilvl="0">
      <w:start w:val="1"/>
      <w:numFmt w:val="bullet"/>
      <w:lvlText w:val=""/>
      <w:lvlJc w:val="left"/>
      <w:pPr>
        <w:tabs>
          <w:tab w:val="num" w:pos="360"/>
        </w:tabs>
        <w:ind w:left="360"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2">
    <w:multiLevelType w:val="hybridMultilevel"/>
    <w:tmpl w:val="48045d92"/>
    <w:lvl w:ilvl="0">
      <w:start w:val="1"/>
      <w:numFmt w:val="decimal"/>
      <w:lvlText w:val="%1."/>
      <w:lvlJc w:val="left"/>
      <w:pPr>
        <w:tabs>
          <w:tab w:val="left" w:pos="720"/>
        </w:tabs>
        <w:ind w:left="720" w:hanging="360"/>
      </w:pPr>
      <w:rPr/>
    </w:lvl>
    <w:lvl w:ilvl="1">
      <w:start w:val="1"/>
      <w:numFmt w:val="decimal"/>
      <w:lvlText w:val="%2."/>
      <w:lvlJc w:val="left"/>
      <w:pPr>
        <w:tabs>
          <w:tab w:val="left" w:pos="720"/>
        </w:tabs>
        <w:ind w:left="1080" w:hanging="360"/>
      </w:pPr>
      <w:rPr/>
    </w:lvl>
    <w:lvl w:ilvl="2">
      <w:start w:val="1"/>
      <w:numFmt w:val="decimal"/>
      <w:lvlText w:val="%3."/>
      <w:lvlJc w:val="left"/>
      <w:pPr>
        <w:tabs>
          <w:tab w:val="left" w:pos="720"/>
        </w:tabs>
        <w:ind w:left="1440" w:hanging="360"/>
      </w:pPr>
      <w:rPr/>
    </w:lvl>
    <w:lvl w:ilvl="3">
      <w:start w:val="1"/>
      <w:numFmt w:val="decimal"/>
      <w:lvlText w:val="%4."/>
      <w:lvlJc w:val="left"/>
      <w:pPr>
        <w:tabs>
          <w:tab w:val="left" w:pos="720"/>
        </w:tabs>
        <w:ind w:left="1800" w:hanging="360"/>
      </w:pPr>
      <w:rPr/>
    </w:lvl>
    <w:lvl w:ilvl="4">
      <w:start w:val="1"/>
      <w:numFmt w:val="decimal"/>
      <w:lvlText w:val="%5."/>
      <w:lvlJc w:val="left"/>
      <w:pPr>
        <w:tabs>
          <w:tab w:val="left" w:pos="720"/>
        </w:tabs>
        <w:ind w:left="2160" w:hanging="360"/>
      </w:pPr>
      <w:rPr/>
    </w:lvl>
    <w:lvl w:ilvl="5">
      <w:start w:val="1"/>
      <w:numFmt w:val="decimal"/>
      <w:lvlText w:val="%6."/>
      <w:lvlJc w:val="left"/>
      <w:pPr>
        <w:tabs>
          <w:tab w:val="left" w:pos="720"/>
        </w:tabs>
        <w:ind w:left="2520" w:hanging="360"/>
      </w:pPr>
      <w:rPr/>
    </w:lvl>
    <w:lvl w:ilvl="6">
      <w:start w:val="1"/>
      <w:numFmt w:val="decimal"/>
      <w:lvlText w:val="%7."/>
      <w:lvlJc w:val="left"/>
      <w:pPr>
        <w:tabs>
          <w:tab w:val="left" w:pos="720"/>
        </w:tabs>
        <w:ind w:left="2880" w:hanging="360"/>
      </w:pPr>
      <w:rPr/>
    </w:lvl>
    <w:lvl w:ilvl="7">
      <w:start w:val="1"/>
      <w:numFmt w:val="decimal"/>
      <w:lvlText w:val="%8."/>
      <w:lvlJc w:val="left"/>
      <w:pPr>
        <w:tabs>
          <w:tab w:val="left" w:pos="720"/>
        </w:tabs>
        <w:ind w:left="3240" w:hanging="360"/>
      </w:pPr>
      <w:rPr/>
    </w:lvl>
    <w:lvl w:ilvl="8">
      <w:start w:val="1"/>
      <w:numFmt w:val="decimal"/>
      <w:lvlText w:val="%9."/>
      <w:lvlJc w:val="left"/>
      <w:pPr>
        <w:tabs>
          <w:tab w:val="left" w:pos="720"/>
        </w:tabs>
        <w:ind w:left="3600" w:hanging="360"/>
      </w:pPr>
      <w:rPr/>
    </w:lvl>
  </w:abstractNum>
  <w:abstractNum w:abstractNumId="13">
    <w:multiLevelType w:val="hybridMultilevel"/>
    <w:tmpl w:val="97a1ae50"/>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abstractNum w:abstractNumId="14">
    <w:multiLevelType w:val="hybridMultilevel"/>
    <w:tmpl w:val="9c19ce29"/>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abstractNum w:abstractNumId="15">
    <w:multiLevelType w:val="hybridMultilevel"/>
    <w:tmpl w:val="f6c25340"/>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abstractNum w:abstractNumId="16">
    <w:multiLevelType w:val="hybridMultilevel"/>
    <w:tmpl w:val="77f55d5c"/>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abstractNum w:abstractNumId="17">
    <w:multiLevelType w:val="hybridMultilevel"/>
    <w:tmpl w:val="440d603b"/>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abstractNum w:abstractNumId="18">
    <w:multiLevelType w:val="hybridMultilevel"/>
    <w:tmpl w:val="8efe73bd"/>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abstractNum w:abstractNumId="19">
    <w:multiLevelType w:val="hybridMultilevel"/>
    <w:tmpl w:val="39a5da6d"/>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abstractNum w:abstractNumId="20">
    <w:multiLevelType w:val="hybridMultilevel"/>
    <w:tmpl w:val="e7d5762b"/>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abstractNum w:abstractNumId="21">
    <w:multiLevelType w:val="hybridMultilevel"/>
    <w:tmpl w:val="44a15c05"/>
    <w:lvl w:ilvl="0">
      <w:start w:val="0"/>
      <w:numFmt w:val="bullet"/>
      <w:lvlText w:val="•"/>
      <w:lvlJc w:val="left"/>
      <w:pPr>
        <w:tabs>
          <w:tab w:val="left" w:pos="720"/>
        </w:tabs>
        <w:ind w:left="720" w:hanging="360"/>
      </w:pPr>
      <w:rPr/>
    </w:lvl>
    <w:lvl w:ilvl="1">
      <w:start w:val="0"/>
      <w:numFmt w:val="bullet"/>
      <w:lvlText w:val="•"/>
      <w:lvlJc w:val="left"/>
      <w:pPr>
        <w:tabs>
          <w:tab w:val="left" w:pos="720"/>
        </w:tabs>
        <w:ind w:left="1080" w:hanging="360"/>
      </w:pPr>
      <w:rPr/>
    </w:lvl>
    <w:lvl w:ilvl="2">
      <w:start w:val="0"/>
      <w:numFmt w:val="bullet"/>
      <w:lvlText w:val="•"/>
      <w:lvlJc w:val="left"/>
      <w:pPr>
        <w:tabs>
          <w:tab w:val="left" w:pos="720"/>
        </w:tabs>
        <w:ind w:left="1440" w:hanging="360"/>
      </w:pPr>
      <w:rPr/>
    </w:lvl>
    <w:lvl w:ilvl="3">
      <w:start w:val="0"/>
      <w:numFmt w:val="bullet"/>
      <w:lvlText w:val="•"/>
      <w:lvlJc w:val="left"/>
      <w:pPr>
        <w:tabs>
          <w:tab w:val="left" w:pos="720"/>
        </w:tabs>
        <w:ind w:left="1800" w:hanging="360"/>
      </w:pPr>
      <w:rPr/>
    </w:lvl>
    <w:lvl w:ilvl="4">
      <w:start w:val="0"/>
      <w:numFmt w:val="bullet"/>
      <w:lvlText w:val="•"/>
      <w:lvlJc w:val="left"/>
      <w:pPr>
        <w:tabs>
          <w:tab w:val="left" w:pos="720"/>
        </w:tabs>
        <w:ind w:left="2160" w:hanging="360"/>
      </w:pPr>
      <w:rPr/>
    </w:lvl>
    <w:lvl w:ilvl="5">
      <w:start w:val="0"/>
      <w:numFmt w:val="bullet"/>
      <w:lvlText w:val="•"/>
      <w:lvlJc w:val="left"/>
      <w:pPr>
        <w:tabs>
          <w:tab w:val="left" w:pos="720"/>
        </w:tabs>
        <w:ind w:left="2520" w:hanging="360"/>
      </w:pPr>
      <w:rPr/>
    </w:lvl>
    <w:lvl w:ilvl="6">
      <w:start w:val="0"/>
      <w:numFmt w:val="bullet"/>
      <w:lvlText w:val="•"/>
      <w:lvlJc w:val="left"/>
      <w:pPr>
        <w:tabs>
          <w:tab w:val="left" w:pos="720"/>
        </w:tabs>
        <w:ind w:left="2880" w:hanging="360"/>
      </w:pPr>
      <w:rPr/>
    </w:lvl>
    <w:lvl w:ilvl="7">
      <w:start w:val="0"/>
      <w:numFmt w:val="bullet"/>
      <w:lvlText w:val="•"/>
      <w:lvlJc w:val="left"/>
      <w:pPr>
        <w:tabs>
          <w:tab w:val="left" w:pos="720"/>
        </w:tabs>
        <w:ind w:left="3240" w:hanging="360"/>
      </w:pPr>
      <w:rPr/>
    </w:lvl>
    <w:lvl w:ilvl="8">
      <w:start w:val="0"/>
      <w:numFmt w:val="bullet"/>
      <w:lvlText w:val="•"/>
      <w:lvlJc w:val="left"/>
      <w:pPr>
        <w:tabs>
          <w:tab w:val="left" w:pos="720"/>
        </w:tabs>
        <w:ind w:left="3600" w:hanging="360"/>
      </w:pPr>
      <w:rPr/>
    </w:lvl>
  </w:abstractNum>
  <w:num w:numId="1">
    <w:abstractNumId w:val="1"/>
  </w:num>
  <w:num w:numId="2">
    <w:abstractNumId w:val="2"/>
  </w:num>
  <w:num w:numId="3">
    <w:abstractNumId w:val="3"/>
  </w:num>
  <w:num w:numId="4">
    <w:abstractNumId w:val="4"/>
  </w:num>
  <w:num w:numId="5">
    <w:abstractNumId w:val="5"/>
  </w:num>
  <w:num w:numId="6">
    <w:abstractNumId w:val="10"/>
  </w:num>
  <w:num w:numId="7">
    <w:abstractNumId w:val="6"/>
  </w:num>
  <w:num w:numId="8">
    <w:abstractNumId w:val="7"/>
  </w:num>
  <w:num w:numId="9">
    <w:abstractNumId w:val="8"/>
  </w:num>
  <w:num w:numId="10">
    <w:abstractNumId w:val="9"/>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footnotePr>
    <w:footnote w:id="-1"/>
    <w:footnote w:id="0"/>
  </w:footnotePr>
  <w:compat>
    <w:compatSetting w:name="compatibilityMode" w:uri="http://schemas.microsoft.com/office/word" w:val="15"/>
  </w:compat>
  <w:clrSchemeMapping w:bg1="light1" w:bg2="light2" w:followedHyperlink="followedHyperlink" w:accent2="accent2" w:accent1="accent1" w:accent4="accent4" w:accent3="accent3" w:accent6="accent6" w:accent5="accent5" w:t1="dark1" w:t2="dark2" w:hyperlink="hyperlink"/>
</w:settings>
</file>

<file path=word/styles.xml><?xml version="1.0" encoding="utf-8"?>
<w:styles xmlns:r="http://schemas.openxmlformats.org/officeDocument/2006/relationships" xmlns:w="http://schemas.openxmlformats.org/wordprocessingml/2006/main">
  <w:docDefaults>
    <w:rPrDefault>
      <w:rPr>
        <w:rFonts w:asciiTheme="minorHAnsi" w:hAnsiTheme="minorHAnsi" w:cstheme="minorBidi" w:eastAsiaTheme="minorHAnsi"/>
        <w:sz w:val="22"/>
        <w:szCs w:val="22"/>
        <w:lang w:val="en-US" w:eastAsia="en-US" w:bidi="ar-SA"/>
      </w:rPr>
    </w:rPrDefault>
    <w:pPrDefault>
      <w:pPr>
        <w:widowControl w:val="off"/>
      </w:pPr>
    </w:pPrDefault>
  </w:docDefaults>
  <w:style w:type="paragraph" w:default="1" w:styleId="Normal">
    <w:name w:val="Normal"/>
    <w:pPr/>
    <w:rPr>
      <w:rFonts w:ascii="Lato" w:hAnsi="Lato" w:eastAsia="Lato" w:cs="Lato"/>
    </w:rPr>
  </w:style>
  <w:style w:type="paragraph" w:styleId="Heading1">
    <w:name w:val="heading 1"/>
    <w:basedOn w:val="Normal"/>
    <w:link w:val="Heading1Char"/>
    <w:pPr>
      <w:keepNext w:val="on"/>
      <w:keepLines w:val="on"/>
      <w:spacing w:before="240"/>
      <w:outlineLvl w:val="0"/>
    </w:pPr>
    <w:rPr>
      <w:rFonts w:asciiTheme="majorHAnsi" w:hAnsiTheme="majorHAnsi" w:cstheme="majorBidi" w:eastAsiaTheme="majorEastAsia"/>
      <w:color w:val="3E3D76" w:themeColor="accent1" w:themeShade="BF"/>
      <w:sz w:val="32"/>
      <w:szCs w:val="32"/>
    </w:rPr>
  </w:style>
  <w:style w:type="paragraph" w:styleId="Heading2">
    <w:name w:val="heading 2"/>
    <w:basedOn w:val="Normal"/>
    <w:link w:val="Heading2Char"/>
    <w:pPr>
      <w:keepNext w:val="on"/>
      <w:keepLines w:val="on"/>
      <w:spacing w:before="200"/>
      <w:outlineLvl w:val="1"/>
    </w:pPr>
    <w:rPr>
      <w:rFonts w:asciiTheme="majorHAnsi" w:hAnsiTheme="majorHAnsi" w:cstheme="majorBidi" w:eastAsiaTheme="majorEastAsia"/>
      <w:b w:val="on"/>
      <w:bCs/>
      <w:color w:val="53529F" w:themeColor="accent1"/>
      <w:sz w:val="26"/>
      <w:szCs w:val="26"/>
    </w:rPr>
  </w:style>
  <w:style w:type="paragraph" w:styleId="Heading3">
    <w:name w:val="heading 3"/>
    <w:basedOn w:val="Normal"/>
    <w:link w:val="Heading3Char"/>
    <w:pPr>
      <w:keepNext w:val="on"/>
      <w:keepLines w:val="on"/>
      <w:spacing w:before="200"/>
      <w:outlineLvl w:val="2"/>
    </w:pPr>
    <w:rPr>
      <w:rFonts w:asciiTheme="majorHAnsi" w:hAnsiTheme="majorHAnsi" w:cstheme="majorBidi" w:eastAsiaTheme="majorEastAsia"/>
      <w:b w:val="on"/>
      <w:bCs/>
      <w:color w:val="53529F" w:themeColor="accent1"/>
    </w:rPr>
  </w:style>
  <w:style w:type="character" w:default="1" w:styleId="DefaultParagraphFont">
    <w:name w:val="Default Paragraph Font"/>
    <w:pPr/>
    <w:rPr/>
  </w:style>
  <w:style w:type="table" w:default="1" w:styleId="TableNormal">
    <w:name w:val="Normal Table"/>
    <w:pPr/>
    <w:rPr/>
    <w:tblPr>
      <w:tblInd w:w="0" w:type="dxa"/>
      <w:tblCellMar>
        <w:top w:w="0" w:type="dxa"/>
        <w:left w:w="108" w:type="dxa"/>
        <w:bottom w:w="0" w:type="dxa"/>
        <w:right w:w="108" w:type="dxa"/>
      </w:tblCellMar>
    </w:tblPr>
    <w:trPr/>
    <w:tcPr/>
  </w:style>
  <w:style w:type="numbering" w:default="1" w:styleId="NoList">
    <w:name w:val="No List"/>
    <w:pPr/>
    <w:rPr/>
  </w:style>
  <w:style w:type="paragraph" w:styleId="BodyText">
    <w:name w:val="Body Text"/>
    <w:basedOn w:val="Normal"/>
    <w:link w:val="BodyTextChar"/>
    <w:pPr/>
    <w:rPr>
      <w:b w:val="on"/>
      <w:bCs/>
      <w:sz w:val="20"/>
      <w:szCs w:val="20"/>
    </w:rPr>
  </w:style>
  <w:style w:type="paragraph" w:styleId="ListParagraph">
    <w:name w:val="List Paragraph"/>
    <w:basedOn w:val="Normal"/>
    <w:pPr/>
    <w:rPr/>
  </w:style>
  <w:style w:type="paragraph" w:styleId="TableParagraph">
    <w:name w:val="Table Paragraph"/>
    <w:basedOn w:val="Normal"/>
    <w:pPr/>
    <w:rPr>
      <w:rFonts w:ascii="Lato-Light" w:hAnsi="Lato-Light" w:eastAsia="Lato-Light" w:cs="Lato-Light"/>
    </w:rPr>
  </w:style>
  <w:style w:type="table" w:styleId="TableGrid">
    <w:name w:val="Table Grid"/>
    <w:basedOn w:val="TableNormal"/>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 w:type="character" w:styleId="Heading1Char">
    <w:name w:val="Heading 1 Char"/>
    <w:basedOn w:val="DefaultParagraphFont"/>
    <w:link w:val="Heading1"/>
    <w:pPr/>
    <w:rPr>
      <w:rFonts w:asciiTheme="majorHAnsi" w:hAnsiTheme="majorHAnsi" w:cstheme="majorBidi" w:eastAsiaTheme="majorEastAsia"/>
      <w:color w:val="3E3D76" w:themeColor="accent1" w:themeShade="BF"/>
      <w:sz w:val="32"/>
      <w:szCs w:val="32"/>
    </w:rPr>
  </w:style>
  <w:style w:type="paragraph" w:styleId="TOC-Heading">
    <w:name w:val="TOC-Heading"/>
    <w:basedOn w:val="BodyText"/>
    <w:pPr/>
    <w:rPr>
      <w:color w:val="4A478B"/>
    </w:rPr>
  </w:style>
  <w:style w:type="paragraph" w:styleId="TOC1">
    <w:name w:val="toc 1"/>
    <w:basedOn w:val="Normal"/>
    <w:pPr>
      <w:tabs>
        <w:tab w:val="right" w:leader="dot" w:pos="14410"/>
      </w:tabs>
      <w:spacing w:before="120"/>
    </w:pPr>
    <w:rPr>
      <w:rFonts w:asciiTheme="minorHAnsi" w:hAnsiTheme="minorHAnsi"/>
      <w:bCs/>
      <w:color w:val="070F13" w:themeColor="text1"/>
      <w:sz w:val="24"/>
    </w:rPr>
  </w:style>
  <w:style w:type="paragraph" w:styleId="TOC2">
    <w:name w:val="toc 2"/>
    <w:basedOn w:val="Normal"/>
    <w:pPr>
      <w:ind w:left="220"/>
    </w:pPr>
    <w:rPr>
      <w:rFonts w:asciiTheme="minorHAnsi" w:hAnsiTheme="minorHAnsi"/>
      <w:i/>
      <w:iCs/>
    </w:rPr>
  </w:style>
  <w:style w:type="paragraph" w:styleId="TOC3">
    <w:name w:val="toc 3"/>
    <w:basedOn w:val="Normal"/>
    <w:pPr>
      <w:ind w:left="440"/>
    </w:pPr>
    <w:rPr>
      <w:rFonts w:asciiTheme="minorHAnsi" w:hAnsiTheme="minorHAnsi"/>
    </w:rPr>
  </w:style>
  <w:style w:type="paragraph" w:styleId="TOC4">
    <w:name w:val="toc 4"/>
    <w:basedOn w:val="Normal"/>
    <w:pPr>
      <w:ind w:left="660"/>
    </w:pPr>
    <w:rPr>
      <w:rFonts w:asciiTheme="minorHAnsi" w:hAnsiTheme="minorHAnsi"/>
      <w:sz w:val="20"/>
      <w:szCs w:val="20"/>
    </w:rPr>
  </w:style>
  <w:style w:type="paragraph" w:styleId="TOC5">
    <w:name w:val="toc 5"/>
    <w:basedOn w:val="Normal"/>
    <w:pPr>
      <w:ind w:left="880"/>
    </w:pPr>
    <w:rPr>
      <w:rFonts w:asciiTheme="minorHAnsi" w:hAnsiTheme="minorHAnsi"/>
      <w:sz w:val="20"/>
      <w:szCs w:val="20"/>
    </w:rPr>
  </w:style>
  <w:style w:type="paragraph" w:styleId="TOC6">
    <w:name w:val="toc 6"/>
    <w:basedOn w:val="Normal"/>
    <w:pPr>
      <w:ind w:left="1100"/>
    </w:pPr>
    <w:rPr>
      <w:rFonts w:asciiTheme="minorHAnsi" w:hAnsiTheme="minorHAnsi"/>
      <w:sz w:val="20"/>
      <w:szCs w:val="20"/>
    </w:rPr>
  </w:style>
  <w:style w:type="paragraph" w:styleId="TOC7">
    <w:name w:val="toc 7"/>
    <w:basedOn w:val="Normal"/>
    <w:pPr>
      <w:ind w:left="1320"/>
    </w:pPr>
    <w:rPr>
      <w:rFonts w:asciiTheme="minorHAnsi" w:hAnsiTheme="minorHAnsi"/>
      <w:sz w:val="20"/>
      <w:szCs w:val="20"/>
    </w:rPr>
  </w:style>
  <w:style w:type="paragraph" w:styleId="TOC8">
    <w:name w:val="toc 8"/>
    <w:basedOn w:val="Normal"/>
    <w:pPr>
      <w:ind w:left="1540"/>
    </w:pPr>
    <w:rPr>
      <w:rFonts w:asciiTheme="minorHAnsi" w:hAnsiTheme="minorHAnsi"/>
      <w:sz w:val="20"/>
      <w:szCs w:val="20"/>
    </w:rPr>
  </w:style>
  <w:style w:type="paragraph" w:styleId="TOC9">
    <w:name w:val="toc 9"/>
    <w:basedOn w:val="Normal"/>
    <w:pPr>
      <w:ind w:left="1760"/>
    </w:pPr>
    <w:rPr>
      <w:rFonts w:asciiTheme="minorHAnsi" w:hAnsiTheme="minorHAnsi"/>
      <w:sz w:val="20"/>
      <w:szCs w:val="20"/>
    </w:rPr>
  </w:style>
  <w:style w:type="paragraph" w:styleId="Header">
    <w:name w:val="header"/>
    <w:basedOn w:val="Normal"/>
    <w:link w:val="HeaderChar"/>
    <w:pPr>
      <w:tabs>
        <w:tab w:val="center" w:leader="none" w:pos="4680"/>
        <w:tab w:val="right" w:leader="none" w:pos="9360"/>
      </w:tabs>
    </w:pPr>
    <w:rPr/>
  </w:style>
  <w:style w:type="character" w:styleId="HeaderChar">
    <w:name w:val="Header Char"/>
    <w:basedOn w:val="DefaultParagraphFont"/>
    <w:link w:val="Header"/>
    <w:pPr/>
    <w:rPr>
      <w:rFonts w:ascii="Lato" w:hAnsi="Lato" w:eastAsia="Lato" w:cs="Lato"/>
    </w:rPr>
  </w:style>
  <w:style w:type="paragraph" w:styleId="Footer">
    <w:name w:val="footer"/>
    <w:basedOn w:val="Normal"/>
    <w:link w:val="FooterChar"/>
    <w:pPr>
      <w:tabs>
        <w:tab w:val="center" w:leader="none" w:pos="4680"/>
        <w:tab w:val="right" w:leader="none" w:pos="9360"/>
      </w:tabs>
    </w:pPr>
    <w:rPr/>
  </w:style>
  <w:style w:type="character" w:styleId="FooterChar">
    <w:name w:val="Footer Char"/>
    <w:basedOn w:val="DefaultParagraphFont"/>
    <w:link w:val="Footer"/>
    <w:pPr/>
    <w:rPr>
      <w:rFonts w:ascii="Lato" w:hAnsi="Lato" w:eastAsia="Lato" w:cs="Lato"/>
    </w:rPr>
  </w:style>
  <w:style w:type="paragraph" w:styleId="PageHeading">
    <w:name w:val="Page Heading"/>
    <w:basedOn w:val="Normal"/>
    <w:pPr>
      <w:pageBreakBefore w:val="on"/>
      <w:spacing w:before="20"/>
      <w:ind w:left="23"/>
    </w:pPr>
    <w:rPr>
      <w:rFonts w:ascii="Calibri" w:hAnsi="Calibri"/>
      <w:color w:val="524FA1"/>
      <w:spacing w:val="-8"/>
      <w:sz w:val="56"/>
    </w:rPr>
  </w:style>
  <w:style w:type="character" w:styleId="BodyTextChar">
    <w:name w:val="Body Text Char"/>
    <w:basedOn w:val="DefaultParagraphFont"/>
    <w:link w:val="BodyText"/>
    <w:pPr/>
    <w:rPr>
      <w:rFonts w:ascii="Lato" w:hAnsi="Lato" w:eastAsia="Lato" w:cs="Lato"/>
      <w:b w:val="on"/>
      <w:bCs/>
      <w:sz w:val="20"/>
      <w:szCs w:val="20"/>
    </w:rPr>
  </w:style>
  <w:style w:type="paragraph" w:styleId="BalloonText">
    <w:name w:val="Balloon Text"/>
    <w:basedOn w:val="Normal"/>
    <w:link w:val="BalloonTextChar"/>
    <w:pPr/>
    <w:rPr>
      <w:rFonts w:ascii="Tahoma" w:hAnsi="Tahoma" w:cs="Tahoma"/>
      <w:sz w:val="16"/>
      <w:szCs w:val="16"/>
    </w:rPr>
  </w:style>
  <w:style w:type="character" w:styleId="BalloonTextChar">
    <w:name w:val="Balloon Text Char"/>
    <w:basedOn w:val="DefaultParagraphFont"/>
    <w:link w:val="BalloonText"/>
    <w:pPr/>
    <w:rPr>
      <w:rFonts w:ascii="Tahoma" w:hAnsi="Tahoma" w:eastAsia="Lato" w:cs="Tahoma"/>
      <w:sz w:val="16"/>
      <w:szCs w:val="16"/>
    </w:rPr>
  </w:style>
  <w:style w:type="character" w:styleId="Heading2Char">
    <w:name w:val="Heading 2 Char"/>
    <w:basedOn w:val="DefaultParagraphFont"/>
    <w:link w:val="Heading2"/>
    <w:pPr/>
    <w:rPr>
      <w:rFonts w:asciiTheme="majorHAnsi" w:hAnsiTheme="majorHAnsi" w:cstheme="majorBidi" w:eastAsiaTheme="majorEastAsia"/>
      <w:b w:val="on"/>
      <w:bCs/>
      <w:color w:val="53529F" w:themeColor="accent1"/>
      <w:sz w:val="26"/>
      <w:szCs w:val="26"/>
    </w:rPr>
  </w:style>
  <w:style w:type="character" w:styleId="Heading3Char">
    <w:name w:val="Heading 3 Char"/>
    <w:basedOn w:val="DefaultParagraphFont"/>
    <w:link w:val="Heading3"/>
    <w:pPr/>
    <w:rPr>
      <w:rFonts w:asciiTheme="majorHAnsi" w:hAnsiTheme="majorHAnsi" w:cstheme="majorBidi" w:eastAsiaTheme="majorEastAsia"/>
      <w:b w:val="on"/>
      <w:bCs/>
      <w:color w:val="53529F" w:themeColor="accent1"/>
    </w:rPr>
  </w:style>
  <w:style w:type="table" w:styleId="TableGrid1">
    <w:name w:val="Table Grid1"/>
    <w:basedOn w:val="TableNormal"/>
    <w:pPr>
      <w:widowControl w:val="on"/>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s>
</file>

<file path=word/_rels/document.xml.rels><?xml version='1.0' encoding='UTF-8'?><Relationships xmlns="http://schemas.openxmlformats.org/package/2006/relationships"><Relationship Id="rId4" Type="http://schemas.openxmlformats.org/officeDocument/2006/relationships/settings" Target="settings.xml"/><Relationship Id="rId5" Type="http://schemas.openxmlformats.org/officeDocument/2006/relationships/fontTable" Target="fontTable.xml"/><Relationship Id="rId6" Type="http://schemas.openxmlformats.org/officeDocument/2006/relationships/styles" Target="styles.xml"/><Relationship Id="rId7" Type="http://schemas.openxmlformats.org/officeDocument/2006/relationships/numbering" Target="numbering.xml"/><Relationship Id="rId11" Type="http://schemas.openxmlformats.org/officeDocument/2006/relationships/theme" Target="theme/theme1.xml"/><Relationship Id="rId12" Type="http://schemas.openxmlformats.org/officeDocument/2006/relationships/footnotes" Target="footnotes.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header" Target="header4.xml"/><Relationship Id="rId20" Type="http://schemas.openxmlformats.org/officeDocument/2006/relationships/header" Target="header5.xml"/><Relationship Id="rId21" Type="http://schemas.openxmlformats.org/officeDocument/2006/relationships/header" Target="header6.xml"/><Relationship Id="rId22" Type="http://schemas.openxmlformats.org/officeDocument/2006/relationships/header" Target="header7.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23" Type="http://schemas.openxmlformats.org/officeDocument/2006/relationships/chart" Target="charts/chart1.xml"/><Relationship Id="rId24" Type="http://schemas.openxmlformats.org/officeDocument/2006/relationships/chart" Target="charts/chart2.xml"/></Relationships>
</file>

<file path=word/_rels/footer1.xml.rels><?xml version='1.0' encoding='UTF-8'?><Relationships xmlns="http://schemas.openxmlformats.org/package/2006/relationships"><Relationship Id="rId1" Type="http://schemas.openxmlformats.org/officeDocument/2006/relationships/image" Target="media/Image_4.jpeg"/></Relationships>
</file>

<file path=word/_rels/footnotes.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header1.xml.rels><?xml version='1.0' encoding='UTF-8'?><Relationships xmlns="http://schemas.openxmlformats.org/package/2006/relationships"><Relationship Id="rId2" Type="http://schemas.openxmlformats.org/officeDocument/2006/relationships/image" Target="media/image4.jpeg"/></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manualLayout>
          <c:layoutTarget val="inner"/>
          <c:xMode val="edge"/>
          <c:yMode val="edge"/>
          <c:x val="0.16567429211891357"/>
          <c:y val="3.6208052857746087E-2"/>
          <c:w val="0.48627479122597056"/>
          <c:h val="0.9117013173037913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2"/>
              <c:pt idx="0">
                <c:v>Medium</c:v>
              </c:pt>
              <c:pt idx="1">
                <c:v>High</c:v>
              </c:pt>
            </c:strLit>
          </c:cat>
          <c:val>
            <c:numLit>
              <c:formatCode>General</c:formatCode>
              <c:ptCount val="2"/>
              <c:pt idx="0">
                <c:v>2</c:v>
              </c:pt>
              <c:pt idx="1">
                <c:v>1</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2787791562924786"/>
          <c:y val="0.36316272622065815"/>
          <c:w val="0.17397578177096903"/>
          <c:h val="0.28521945403512255"/>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433460917011775"/>
          <c:y val="4.1504177119815862E-2"/>
          <c:w val="0.47711523606249095"/>
          <c:h val="0.9064436937496377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2"/>
              <c:pt idx="0">
                <c:v>RFO and CCs</c:v>
              </c:pt>
              <c:pt idx="1">
                <c:v>HoR, RFO and CCs</c:v>
              </c:pt>
            </c:strLit>
          </c:cat>
          <c:val>
            <c:numLit>
              <c:formatCode>General</c:formatCode>
              <c:ptCount val="2"/>
              <c:pt idx="0">
                <c:v>2</c:v>
              </c:pt>
              <c:pt idx="1">
                <c:v>1</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0428324609691384"/>
          <c:y val="0.20949311541104682"/>
          <c:w val="0.2320735126041997"/>
          <c:h val="0.57043890807024511"/>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theme/theme1.xml><?xml version="1.0" encoding="utf-8"?>
<a:theme xmlns:a="http://schemas.openxmlformats.org/drawingml/2006/main" name="Office Theme">
  <a:themeElements>
    <a:clrScheme name="Custom 6">
      <a:dk1>
        <a:srgbClr val="070F13"/>
      </a:dk1>
      <a:lt1>
        <a:srgbClr val="FFFFFF"/>
      </a:lt1>
      <a:dk2>
        <a:srgbClr val="4A478A"/>
      </a:dk2>
      <a:lt2>
        <a:srgbClr val="E0E6E4"/>
      </a:lt2>
      <a:accent1>
        <a:srgbClr val="53529F"/>
      </a:accent1>
      <a:accent2>
        <a:srgbClr val="D1CBC2"/>
      </a:accent2>
      <a:accent3>
        <a:srgbClr val="2B82BF"/>
      </a:accent3>
      <a:accent4>
        <a:srgbClr val="EABA51"/>
      </a:accent4>
      <a:accent5>
        <a:srgbClr val="B9668F"/>
      </a:accent5>
      <a:accent6>
        <a:srgbClr val="7EC0CC"/>
      </a:accent6>
      <a:hlink>
        <a:srgbClr val="393478"/>
      </a:hlink>
      <a:folHlink>
        <a:srgbClr val="6B629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Pages>16</Pages>
  <Application>Microsoft Office Word</Application>
  <Company>Standard Server Engine - 2 cores (java)   5 x standard, 5 x warm f/o</Company>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ACL Services Ltd.</dc:creator>
  <dcterms:created xsi:type="dcterms:W3CDTF">2026-04-02T08:22:00Z</dcterms:created>
  <dcterms:modified xsi:type="dcterms:W3CDTF">2026-04-02T08:22:00Z</dcterms:modified>
</cp:coreProperties>
</file>