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423736241"/>
            <w:r>
              <w:rPr>
                <w:color w:val="FFFFFF" w:themeColor="background1"/>
                <w:sz w:val="90"/>
                <w:szCs w:val="90"/>
              </w:rPr>
              <w:t xml:space="preserve">KRCS  North eastern 2025 spot check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23,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23,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816228106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506698668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641667394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967892267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cash and bank management practices</w:t>
      </w:r>
      <w:r>
        <w:rPr>
          <w:rFonts w:asciiTheme="minorHAnsi" w:hAnsiTheme="minorHAnsi"/>
          <w:bCs/>
          <w:color w:val="070F13" w:themeColor="text1"/>
          <w:sz w:val="24"/>
        </w:rPr>
        <w:tab/>
      </w:r>
      <w:fldSimple w:instr=" PAGEREF _Toc2109822513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F3 Inaccurate receipting and misstatement of receipt numbers in navision system</w:t>
      </w:r>
      <w:r>
        <w:rPr>
          <w:rFonts w:asciiTheme="minorHAnsi" w:hAnsiTheme="minorHAnsi"/>
          <w:bCs/>
          <w:color w:val="070F13" w:themeColor="text1"/>
          <w:sz w:val="24"/>
        </w:rPr>
        <w:tab/>
      </w:r>
      <w:fldSimple w:instr=" PAGEREF _Toc25366067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F4 Long outstanding receivables at the branches</w:t>
      </w:r>
      <w:r>
        <w:rPr>
          <w:rFonts w:asciiTheme="minorHAnsi" w:hAnsiTheme="minorHAnsi"/>
          <w:bCs/>
          <w:color w:val="070F13" w:themeColor="text1"/>
          <w:sz w:val="24"/>
        </w:rPr>
        <w:tab/>
      </w:r>
      <w:fldSimple w:instr=" PAGEREF _Toc403913117 ">
        <w:r>
          <w:rPr>
            <w:rFonts w:asciiTheme="minorHAnsi" w:hAnsiTheme="minorHAnsi"/>
            <w:bCs/>
            <w:color w:val="070F13" w:themeColor="text1"/>
            <w:sz w:val="24"/>
          </w:rPr>
          <w:t xml:space="preserve">12</w:t>
        </w:r>
      </w:fldSimple>
    </w:p>
    <w:p>
      <w:pPr>
        <w:pStyle w:val="TOC1"/>
        <w:spacing w:before="120"/>
        <w:rPr/>
      </w:pPr>
      <w:r>
        <w:rPr>
          <w:rFonts w:asciiTheme="minorHAnsi" w:hAnsiTheme="minorHAnsi"/>
          <w:bCs/>
          <w:color w:val="070F13" w:themeColor="text1"/>
          <w:sz w:val="24"/>
        </w:rPr>
        <w:t xml:space="preserve">F5 Gaps in expenses management and non compliance with 25% surplus retention</w:t>
      </w:r>
      <w:r>
        <w:rPr>
          <w:rFonts w:asciiTheme="minorHAnsi" w:hAnsiTheme="minorHAnsi"/>
          <w:bCs/>
          <w:color w:val="070F13" w:themeColor="text1"/>
          <w:sz w:val="24"/>
        </w:rPr>
        <w:tab/>
      </w:r>
      <w:fldSimple w:instr=" PAGEREF _Toc701652573 ">
        <w:r>
          <w:rPr>
            <w:rFonts w:asciiTheme="minorHAnsi" w:hAnsiTheme="minorHAnsi"/>
            <w:bCs/>
            <w:color w:val="070F13" w:themeColor="text1"/>
            <w:sz w:val="24"/>
          </w:rPr>
          <w:t xml:space="preserve">16</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816228106"/>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main purpose of this audit is to review controls in regard to:</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1} Income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2} Expenses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3} Procurement process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4} Receivables &amp; Payables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As part of the 2025 audit plan, the Internal Audit department conducted a review of Mandera and Garissa Branches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The scope of the audit covers all activities undertaken by Marsabit and Isiolo branches from January 2025 to May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506698668"/>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Following our review, we conclude that the controls around KRCS Mandera and Garissa branches processes </w:t>
      </w:r>
      <w:r>
        <w:rPr>
          <w:rFonts w:ascii="Calibri" w:hAnsi="Calibri"/>
          <w:b w:val="on"/>
          <w:color w:val="070F13"/>
          <w:sz w:val="24"/>
          <w:szCs w:val="24"/>
        </w:rPr>
        <w:t xml:space="preserve">NEEDS IMPROVEMENT</w:t>
      </w:r>
      <w:r>
        <w:rPr>
          <w:rFonts w:ascii="Calibri" w:hAnsi="Calibri"/>
          <w:b w:val="off"/>
          <w:color w:val="070F13"/>
          <w:sz w:val="24"/>
          <w:szCs w:val="24"/>
        </w:rPr>
        <w:t xml:space="preserve">. We observed control gaps as detailed in this report that require management action</w:t>
      </w:r>
      <w:r>
        <w:rPr>
          <w:rFonts w:ascii="Calibri" w:hAnsi="Calibri"/>
          <w:color w:val="070F13" w:themeColor="text1"/>
          <w:sz w:val="24"/>
          <w:szCs w:val="24"/>
        </w:rPr>
        <w:t xml:space="preserve">.</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641667394"/>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procurement processes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income recognition processes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receivables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expenses management processes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967892267"/>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cash and bank management practices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Inaccurate receipting and misstatement of receipt numbers in navision system</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receivables at the branches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expenses management and non compliance with 25% surplus retention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2109822513"/>
            <w:r>
              <w:rPr/>
              <w:t xml:space="preserve"> F1 Gaps in cash and bank management practices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Segregation of Duties in Bank Reconciliation (Mandera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p</w:t>
            </w: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er clause 16.2 of finance manual segregation of duties is critical to effective internal control; it reduces the risks of both erroneous and inappropriate actions.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review of February 2025 bank reconciliations for Mandera Branch (BNKNE004), it was noted that the same officer the Regional Finance Officer (RFO) — prepared and approved the reconciliation. This contravenes internal control principles that require independent review and authorization to prevent and detect errors or irregularities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 in preparation and approval of bank reconciliation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p</w:t>
            </w: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er clause 8.5 of the finance manual, all KRCS bank accounts must be reconciled with bank balances in the cash book monthly within 15 days of the subsequent month.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From our review of the bank reconciliations from January to June 2025 for Mandera and Garissa branches we observed that the below bank </w:t>
            </w: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reconciliations were prepared late as shown below:- </w:t>
            </w:r>
          </w:p>
          <w:tbl>
            <w:tblPr>
              <w:tblW w:w="126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40"/>
              <w:gridCol w:w="240"/>
              <w:gridCol w:w="780"/>
              <w:gridCol w:w="780"/>
              <w:gridCol w:w="588"/>
              <w:gridCol w:w="588"/>
              <w:gridCol w:w="640"/>
              <w:gridCol w:w="843"/>
              <w:gridCol w:w="843"/>
              <w:gridCol w:w="612"/>
              <w:gridCol w:w="441"/>
              <w:gridCol w:w="441"/>
              <w:gridCol w:w="274"/>
              <w:gridCol w:w="274"/>
              <w:gridCol w:w="2018"/>
              <w:gridCol w:w="241"/>
              <w:gridCol w:w="1027"/>
              <w:gridCol w:w="1027"/>
              <w:gridCol w:w="241"/>
              <w:gridCol w:w="241"/>
              <w:gridCol w:w="24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Garissa branch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date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Due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approved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BNKNE001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30/11/2024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99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31/10/2024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46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31/04/2025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14/05/2025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28/02/2025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19/03/2025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21/03/2025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31/01/2025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19/03/2025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19/03/2025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1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Mandera branch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code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Due date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approved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vMerge w:val="restart"/>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BNKNE004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May-25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104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15/06/2025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10/6/2025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Apr-25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103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15/05/2025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2/6/2025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Mar-25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102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15/04/2025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2/6/2025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Feb-25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15/03/2025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24/03/2025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24/03/2025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2"/>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15/02/2025 </w:t>
                  </w:r>
                </w:p>
              </w:tc>
              <w:tc>
                <w:tcPr>
                  <w:tcW w:w="0" w:type="auto"/>
                  <w:gridSpan w:val="4"/>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21/03/2025 </w:t>
                  </w:r>
                </w:p>
              </w:tc>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21/03/2025 </w:t>
                  </w:r>
                </w:p>
              </w:tc>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gridSpan w:val="1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bank charges on dormant accounts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the review of bank statements we noted that Garissa branch incurred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 charges amounting to Kshs 20,877,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primarily due to two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dormant bank accounts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BNKNE003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and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BNKNE011</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that have remained inactive but continue to attract monthly maintenance fees. The continued retention of these unused accounts without closure has led to unnecessary financial costs and reflects gaps in account monitoring and closure procedures.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System challenges.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Last minute Bank reconciliation.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undetected errors, fraud, or manipulation of financial records, compromising the integrity and reliability of bank reconciliations.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RFO should ensure that bank reconciliations are timely  prepared and independently reviewed by different officers..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25366067"/>
            <w:r>
              <w:rPr/>
              <w:t xml:space="preserve"> F3 Inaccurate receipting and misstatement of receipt numbers in navision system</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income recognition processes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receipt records in the Navision system revealed inconsistencies between system entries and actual receipt books. Specifically, receipts for member subscriptions recorded on 10th, 22nd, and 30th April 2025 were posted with incorrect receipt numbers in the system.  </w:t>
            </w:r>
          </w:p>
          <w:tbl>
            <w:tblPr>
              <w:tblW w:w="113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617"/>
              <w:gridCol w:w="2593"/>
              <w:gridCol w:w="1233"/>
              <w:gridCol w:w="3682"/>
              <w:gridCol w:w="225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Particular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Ref receipt no as per the system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Correct receipt no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 subscription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160660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160560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 subscription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160661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160561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 subscription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160662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160562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Additionally, on 12th February 2025, receipt no. 160506 reflected an amount of KES 5,000, while the bank ledger indicated KES 10,00 resulting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 variance of KES 5,000 as shown below: -                    </w:t>
            </w:r>
          </w:p>
          <w:tbl>
            <w:tblPr>
              <w:tblW w:w="113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18"/>
              <w:gridCol w:w="1521"/>
              <w:gridCol w:w="4230"/>
              <w:gridCol w:w="2787"/>
              <w:gridCol w:w="1324"/>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Receipt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as per the bank ledger entry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as per receipt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Variance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160506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reconciliation between physical receipts and system postings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fraud or misappropriation of funds.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RFO should ensure that a  routine reconciliations is conducted between the bank ledger, physical receipts, and Navision entries.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403913117"/>
            <w:r>
              <w:rPr/>
              <w:t xml:space="preserve"> F4 Long outstanding receivables at the branches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receivables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Timely collection of receivables is critical for sustaining operational cash flows and minimizing credit risk. However, an analysis of branch-level receivables revealed that both Garissa and Mandera branches have significant long-outstanding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Garissa branch, receivables amount to Kshs 3,003,438, with Kshs 1,365,255 (45%) overdue by more than 120 days.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Mandera branch, the receivable balance stands at Kshs 4,307,710, with a substantial Kshs 3,652,405 (85%) overdue beyond 120 days.</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243"/>
              <w:gridCol w:w="1243"/>
              <w:gridCol w:w="1125"/>
              <w:gridCol w:w="1125"/>
              <w:gridCol w:w="1543"/>
            </w:tblGrid>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Garissa branch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Project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2021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2022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DM - DPR151-Operations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Salary Recovery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127,890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127,890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Danida project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124,845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124,845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Dpr146 : icrc project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434,430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434,430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DPR470: Disaster Risk Management Personnel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123,060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123,060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DPR525:ICRC Climate and Security Project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152,775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152,775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DPR533 Echo Dp Finish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230,430.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275,430.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PMU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232,500.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HSS092:Danida RHR- DRC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71505.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104,505.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HSS613- WDF NCD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104,790.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104,790.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HSS632 UNICEF NUTRTN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ICRC COOPERATION PRJ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236,775.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236,775.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NORTH EASTERN REGION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223,863.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223,863.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TRDR-krcs hq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443,265.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443,265.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UNICEF- PROJECT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359,310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359,310. </w:t>
                  </w:r>
                </w:p>
              </w:tc>
            </w:tr>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3,003,438.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4473"/>
              <w:gridCol w:w="880"/>
              <w:gridCol w:w="1182"/>
              <w:gridCol w:w="1363"/>
              <w:gridCol w:w="1243"/>
              <w:gridCol w:w="1243"/>
              <w:gridCol w:w="1667"/>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Mandera branch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2021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2022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Project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DPR525:ICRC Climate and Security Project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122,640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122,640.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HSS092:Danida RHR- DRC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532,665.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532,665.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HSS619: HPD UNICEF NUTRITION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146,055.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146,055.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TRDR-krcs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696,255.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696,255.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UNICEF- PROJECT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861,400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1,948,695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2,810,095 </w:t>
                  </w: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861,400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2,644,950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146,055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655,305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4,307,710.00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Absence of structured receivables management at the branch level.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Delayed receivables may strain cash flow and increase the risk of bad debts.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 regular monitoring and follow-up of overdue receivables to improve recovery and reduce aging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701652573"/>
            <w:r>
              <w:rPr/>
              <w:t xml:space="preserve"> F5 Gaps in expenses management and non compliance with 25% surplus retention</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expenses management processes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expense transactions at Mandera branch revealed weaknesses in financial control, specifically in the areas of timely expense recognition and accuracy of payments: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Delayed Posting of Fuel Expenses: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fuel expense amounting to KES 34,800 (Order No. 1044657) dated 6th December 2023 was posted and paid one year later, on 6th December 2024. This delay resulted in the misstatement of expenses across financial periods, potentially affecting the accuracy of annual financial reports and budget utilization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tblGrid>
            <w:tr>
              <w:trPr/>
              <w:tc>
                <w:tcPr>
                  <w:tcW w:w="225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Value 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order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70849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6/12/20</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6/12/20</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104465</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34,800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Overpayment of Volunteer Allowances: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Analysis of volunteer payments in February 2025 indicated overpayments due to inaccurate computation of days worked.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 name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of days worked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paid </w:t>
                  </w:r>
                </w:p>
              </w:tc>
              <w:tc>
                <w:tcPr>
                  <w:tcW w:w="225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Excess paid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28/02/2025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70886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Issa Khalif….Accountant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28/02/2025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70884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Abdullahi Osman….Security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70878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Issa Khalif….Accountant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surplus retention directive for development purposes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National Executive Committee issued a directive requiring all branches to retain 25% of their unrestricted fund surplus for development purposes. However, audit review for the period January 2025 to May 2025 revealed that the two branches Garissa and Mandera had not generated adequate surpluses to meet this requirement as detailed below:- </w:t>
            </w:r>
          </w:p>
          <w:tbl>
            <w:tblPr>
              <w:tblW w:w="59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039"/>
              <w:gridCol w:w="2071"/>
              <w:gridCol w:w="1850"/>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Garissa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Mandera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2,597,500.00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1,741,855.00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Expense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3,880,707.00 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1,924,401.80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(1,283,207.00)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182,546.80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review and approval controls over expense documentation and payments.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Misstatement of financial records due to delayed expense recognition.</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3"/>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Ensure that all expenses are recorded in the correct financial period by implementing a cutoff review process at year-end. </w:t>
            </w:r>
          </w:p>
          <w:p>
            <w:pPr>
              <w:pStyle w:val="BodyText"/>
              <w:numPr>
                <w:ilvl w:val="0"/>
                <w:numId w:val="13"/>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internal controls by enforcing dual verification of all volunteer payments, including supporting documentation such as approved timesheets or attendance records.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North eastern 2025 spot check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18</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2eb746af"/>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89669546"/>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3</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County co-ordinator</c:v>
              </c:pt>
              <c:pt idx="1">
                <c:v>RFO</c:v>
              </c:pt>
            </c:strLit>
          </c:cat>
          <c:val>
            <c:numLit>
              <c:formatCode>General</c:formatCode>
              <c:ptCount val="2"/>
              <c:pt idx="0">
                <c:v>1</c:v>
              </c:pt>
              <c:pt idx="1">
                <c:v>3</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18</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2026-04-02T08:41:00Z</dcterms:created>
  <dcterms:modified xsi:type="dcterms:W3CDTF">2026-04-02T08:41:00Z</dcterms:modified>
</cp:coreProperties>
</file>