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250206975"/>
            <w:r>
              <w:rPr>
                <w:color w:val="FFFFFF" w:themeColor="background1"/>
                <w:sz w:val="90"/>
                <w:szCs w:val="90"/>
              </w:rPr>
              <w:t xml:space="preserve">KRCS South Rift Region Spot Check Review October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4,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30,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522051937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070581152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477600798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584282714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F1 Lack of Financial Sustainability of Branch Operations</w:t>
      </w:r>
      <w:r>
        <w:rPr>
          <w:rFonts w:asciiTheme="minorHAnsi" w:hAnsiTheme="minorHAnsi"/>
          <w:bCs/>
          <w:color w:val="070F13" w:themeColor="text1"/>
          <w:sz w:val="24"/>
        </w:rPr>
        <w:tab/>
      </w:r>
      <w:fldSimple w:instr=" PAGEREF _Toc1275316852 ">
        <w:r>
          <w:rPr>
            <w:rFonts w:asciiTheme="minorHAnsi" w:hAnsiTheme="minorHAnsi"/>
            <w:bCs/>
            <w:color w:val="070F13" w:themeColor="text1"/>
            <w:sz w:val="24"/>
          </w:rPr>
          <w:t xml:space="preserve">8</w:t>
        </w:r>
      </w:fldSimple>
    </w:p>
    <w:p>
      <w:pPr>
        <w:pStyle w:val="TOC1"/>
        <w:spacing w:before="120"/>
        <w:rPr/>
      </w:pPr>
      <w:r>
        <w:rPr>
          <w:rFonts w:asciiTheme="minorHAnsi" w:hAnsiTheme="minorHAnsi"/>
          <w:bCs/>
          <w:color w:val="070F13" w:themeColor="text1"/>
          <w:sz w:val="24"/>
        </w:rPr>
        <w:t xml:space="preserve">F2 Gaps in Payments Bomet Branch</w:t>
      </w:r>
      <w:r>
        <w:rPr>
          <w:rFonts w:asciiTheme="minorHAnsi" w:hAnsiTheme="minorHAnsi"/>
          <w:bCs/>
          <w:color w:val="070F13" w:themeColor="text1"/>
          <w:sz w:val="24"/>
        </w:rPr>
        <w:tab/>
      </w:r>
      <w:fldSimple w:instr=" PAGEREF _Toc2075966562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Long Outstanding Payables and Receivables</w:t>
      </w:r>
      <w:r>
        <w:rPr>
          <w:rFonts w:asciiTheme="minorHAnsi" w:hAnsiTheme="minorHAnsi"/>
          <w:bCs/>
          <w:color w:val="070F13" w:themeColor="text1"/>
          <w:sz w:val="24"/>
        </w:rPr>
        <w:tab/>
      </w:r>
      <w:fldSimple w:instr=" PAGEREF _Toc1835344448 ">
        <w:r>
          <w:rPr>
            <w:rFonts w:asciiTheme="minorHAnsi" w:hAnsiTheme="minorHAnsi"/>
            <w:bCs/>
            <w:color w:val="070F13" w:themeColor="text1"/>
            <w:sz w:val="24"/>
          </w:rPr>
          <w:t xml:space="preserve">14</w:t>
        </w:r>
      </w:fldSimple>
    </w:p>
    <w:p>
      <w:pPr>
        <w:pStyle w:val="TOC1"/>
        <w:spacing w:before="120"/>
        <w:rPr/>
      </w:pPr>
      <w:r>
        <w:rPr>
          <w:rFonts w:asciiTheme="minorHAnsi" w:hAnsiTheme="minorHAnsi"/>
          <w:bCs/>
          <w:color w:val="070F13" w:themeColor="text1"/>
          <w:sz w:val="24"/>
        </w:rPr>
        <w:t xml:space="preserve">F4 Delayed Disposal of Aged Branch Vehicles</w:t>
      </w:r>
      <w:r>
        <w:rPr>
          <w:rFonts w:asciiTheme="minorHAnsi" w:hAnsiTheme="minorHAnsi"/>
          <w:bCs/>
          <w:color w:val="070F13" w:themeColor="text1"/>
          <w:sz w:val="24"/>
        </w:rPr>
        <w:tab/>
      </w:r>
      <w:fldSimple w:instr=" PAGEREF _Toc1516507993 ">
        <w:r>
          <w:rPr>
            <w:rFonts w:asciiTheme="minorHAnsi" w:hAnsiTheme="minorHAnsi"/>
            <w:bCs/>
            <w:color w:val="070F13" w:themeColor="text1"/>
            <w:sz w:val="24"/>
          </w:rPr>
          <w:t xml:space="preserve">16</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522051937"/>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main purpose of this audit is to review;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    Governance, risk management, financial management, income &amp; expenditure, procurement, human resource, volunteer management and internal controls, Branch Development Plan (BDP) and to identify control gaps.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2.    To identify opportunities for improvement.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review of KRCS South Rift branches ( Bomet, Baringo, Kericho, Nyandarua and Narok) to determine if the controls are operating effectively and in compliance with the Society's policies and objectives.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governance, risk management and internal control processes for the period July 2025 to September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070581152"/>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40%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Following our review, we conclude that the control environment within the KRCS South Rift Region branches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Several control gaps were identified across key operational and financial processes, as detailed in this report. These weaknesses call for timely management action to strengthen internal controls, promote accountability, and enhance overall operational efficiency.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Notably;</w:t>
      </w:r>
    </w:p>
    <w:p>
      <w:pPr>
        <w:numPr>
          <w:ilvl w:val="0"/>
          <w:numId w:val="12"/>
        </w:numPr>
        <w:ind w:left="720" w:right="0" w:hanging="360"/>
        <w:contextualSpacing/>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region has made commendable progress in ensuring that most parcels of land allocated to the branches have obtained title deeds.</w:t>
      </w:r>
    </w:p>
    <w:p>
      <w:pPr>
        <w:numPr>
          <w:ilvl w:val="0"/>
          <w:numId w:val="12"/>
        </w:numPr>
        <w:ind w:left="720" w:right="0" w:hanging="360"/>
        <w:contextualSpacing/>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adoption and utilization of the Navision system in procurement processes has improved compared to previous audit periods. However, gaps remain, particularly in Narok Branch, where a volunteer was found using a staff account to facilitate procurements, contrary to established procedures.</w:t>
      </w:r>
    </w:p>
    <w:p>
      <w:pPr>
        <w:numPr>
          <w:ilvl w:val="0"/>
          <w:numId w:val="12"/>
        </w:numPr>
        <w:ind w:left="720" w:right="0" w:hanging="360"/>
        <w:contextualSpacing/>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Furthermore, Narok, Nyandarua, Kericho, and Bomet branches do not have prequalified vendors, which delays procurement processes.</w:t>
      </w:r>
    </w:p>
    <w:p>
      <w:pPr>
        <w:numPr>
          <w:ilvl w:val="0"/>
          <w:numId w:val="12"/>
        </w:numPr>
        <w:ind w:left="720" w:right="0" w:hanging="360"/>
        <w:contextualSpacing/>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2025 financial records of Narok Branch were inaccurate, as they included income (115,000) and expenditure (573,567) relating to the 2024 financial year, indicating non-adherence to cutoff procedures. This misstatement affects the accuracy and reliability of the branch’s reported financial performance for the audit period.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We acknowledge and appreciate the cooperation and support extended by the South Rift Region team throughout the audit exercise. Strengthening the identified control areas will be critical in promoting sound financial management and ensuring compliance with KRCS policies and procedures.</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477600798"/>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Payroll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60%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80%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Debtor and Creditor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Fleet and Warehouse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50%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 Governance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80%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sustainability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Expense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584282714"/>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Lack of Financial Sustainability of Branch Operations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Payments Bomet Branch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Payables and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Delayed Disposal of Aged Branch Vehicles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RSCMO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275316852"/>
            <w:r>
              <w:rPr/>
              <w:t xml:space="preserve"> F1 Lack of Financial Sustainability of Branch Operations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sustainability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sustainability is essential to ensure that each branch consistently generates adequate income to meet its operational obligations and remain viable in the foreseeable future. According to sound financial management practices, branches should aim to cover their operating costs through internally generated income and maintain a positive surplus.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the Bomet, Baringo, Nyandarua, Kericho and Narok branch income and expenditure  for the period January to September 2025 revealed that most of the branches were not financially sustainable, as their income was insufficient to meet operational expenses. The summary below illustrates the financial performance during the review period: </w:t>
            </w:r>
          </w:p>
          <w:tbl>
            <w:tblPr>
              <w:tblW w:w="115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788"/>
              <w:gridCol w:w="2041"/>
              <w:gridCol w:w="2602"/>
              <w:gridCol w:w="3100"/>
              <w:gridCol w:w="2049"/>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(KES)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Expenditure (KES)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(KES)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Savings Ratio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Bomet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4,226,055 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6,764,956 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(2,538,901)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Narok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2,235,623 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2,139,752 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95,871 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0.04 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Baringo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4,375,192 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5,397,858 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(1,022,666)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Nyandarua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1,848,620 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1,714,912 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133,708 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1,716,023 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1,568,097 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147,926 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14,401,513 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17,585,573 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(3,184,060)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the combined branch deficit for the period amounted to KES 3,184,060.49, indicating that the income generated was inadequate to sustain branch operations. Income-generating activities (IGAs) such as first aid training, membership contributions, mileage, humanity power walk and  program support, did not yield sufficient revenue to cover operating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market demand for existing branch IGAs.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Overreliance on donor-funded projects that used to support core operational costs.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achieve financial self-sufficiency at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financial pressure on HQ to subsidize branch operations.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risk to the continuity and autonomy of branch programs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Conduct a comprehensive market analysis to identify and prioritize viable IGAs with stronger revenue potential in each branch context.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Develop a branch-level sustainability strategy that promotes income diversification and reduces dependence on project funds.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financial planning and monitoring to ensure that expenditure aligns with realistic income projections.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Explore cost optimization measures to enhance operational efficiency at the branch level.</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2075966562"/>
            <w:r>
              <w:rPr/>
              <w:t xml:space="preserve"> F2 Gaps in Payments Bomet Branch </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Expense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requires that, all payments and advances must be duly authorized, supported with proper documentation, and accounted for within the prescribed timelines. Staff and board members are required to submit full accountabilities for all advances issued to them upon completion of related activities.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Bomet Branch expenditures for the period July to September 2025 revealed several irregular payments and an unaccounted-for advance, as summarized below: </w:t>
            </w:r>
          </w:p>
          <w:tbl>
            <w:tblPr>
              <w:tblW w:w="102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686"/>
              <w:gridCol w:w="4642"/>
              <w:gridCol w:w="3681"/>
              <w:gridCol w:w="119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Observation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Details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(KES)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Volunteer Payments Without Signed Participant Lists - Volunteers Paid: Noel Mutai (600), Mercy Cheptoo (600), John Tonui (600), John Ngetich (600), Beverlyne Chepngeno (600), Ibrahim Ochieng (600), Patrick Kipkoech (600).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Payment of volunteer allowances for supporting the Humanity Power Walk 2025 held at St. Mary’s Primary School on June 14, 2025, without any signed participant list to confirm attendance.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Weekend Payments to Staff Instead of Time-Off - Staff Paid: Jesca Chepkemoi (1,750 total), Aron Koech (1,000), Sharon Chepkemoi (750), Cosmas Cheruiyot (750), Felix Keter (750), John Tanui (750), Naomi Cherotich (750), John Ngetich (750), Beverlyne Chepngeno (750), Kennedy Moses (750), Nicholus Kirui (750).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Staff were compensated in cash for working over weekends instead of taking compensatory days off as per HR policy.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Airtime Allowance Paid Outside Approved Limits - Staff Paid: John Tonui (1,000), Jesca Chepkemoi (1,000), Cosmas Cheruiyot (1,000).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Staff were paid additional airtime allowance for attending the Finance, Tender, and Audit Standing Subcommittee on 12 August 2025, despite already having received their quarterly airtime allocation.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Payment to Staff for Land Leveling - Staff Paid: Aron Koech – 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Payment made to staff for leveling branch land for five days, an activity that should ordinarily be conducted through contracted labor or community service.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Payment to Staff for Attending Main and Youth Board Meetings - Staff Paid: Aron Koech (5,000), Cosmas Cheruiyot (2,000), Felix (3,000)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Staff were paid allowances for attending Main and Youth Board meetings, which are ordinarily for board members.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Unaccounted-for Advance – Youth Board Member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Advance issued to Sigei Enoch, Youth Board Member, on 8 September 2025, totaling KES 9,000 (Per diem – 5,000; Out of Pocket – 1,000; Transport – 3,000) remained unaccounted for as at the time of audit.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40,700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enforcement of financial accountability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review and approval of payment and accountability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supervision and follow-up on staff and board advances.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financial loss and misappropriation of funds.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internal financial and accountability procedures.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reliability of financial reporting at branch level.</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 strict adherence to financial accountability procedures, ensuring that all advances are properly accounted for within the stipulated timelines.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Recover or justify unaccounted-for funds from the responsible personnel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review and approval processes for staff and volunteer payments to ensure compliance with policy.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835344448"/>
            <w:r>
              <w:rPr/>
              <w:t xml:space="preserve"> F3 Long Outstanding Payables and Receivables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Debtor and Creditor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requires that both payables and receivables be regularly reviewed to ensure compliance with the organization’s financial management policies, contractual terms, and established payment or collection timelines. Overdue payables should be evaluated against vendor agreements and payment terms to determine their impact on operational efficiency, financial performance, and internal control effectiveness. Prolonged unpaid obligations may expose the organization to reputational risk, strained supplier relationships, and potential legal action.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payables and receivables revealed that, a total receivable and payable balance of KSh 10,010,686 and creditors  amounting to KSh 678,267 at the branch remains long outstanding. </w:t>
            </w:r>
          </w:p>
          <w:tbl>
            <w:tblPr>
              <w:tblW w:w="49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757"/>
              <w:gridCol w:w="1754"/>
              <w:gridCol w:w="1469"/>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Debtors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Creditors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Narok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390,821 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400,576 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Bomet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7,275,326 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Kericho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277,691 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Baringo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2,344,539 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10,010,686 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678,267 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3F3D3C"/>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Casflow constrains.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Inadequate follow up on debtor balances to ensure full recovery.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constrains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Write off of irrecoverable receivable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Follow up on recovering intercompany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Ensure there is efficient cash flow management to meet obligations as and when they fall due.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516507993"/>
            <w:r>
              <w:rPr/>
              <w:t xml:space="preserve"> F4 Delayed Disposal of Aged Branch Vehicles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Fleet and Warehouse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RSCMO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sz w:val="20"/>
                <w:szCs w:val="20"/>
              </w:rPr>
              <w:t xml:space="preserve">PSCMO</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Clause 11.2 of the organization’s Fleet Management Manual, vehicle maintenance becomes increasingly expensive as assets age. The policy stipulates that motorcycles, saloon cars, pickups, and station wagons should be replaced after covering 150,000 kilometers or after five (5) years of service, whichever comes first, to ensure operational efficiency and cost-effectiveness.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at September 30, 2025, a review of odometer readings for the Bomet branch vehicles revealed that several units had exceeded the mileage threshold for disposal, contrary to the fleet policy. The details are summarized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completing the vehicle disposal process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Loss of funds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 vehicle maintenance costs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fast track the disposal of vehicles as per policy requirements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South Rift Region Spot Check Review October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17</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0f833bf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2</c:v>
              </c:pt>
              <c:pt idx="1">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RFO</c:v>
              </c:pt>
              <c:pt idx="1">
                <c:v>RSCMO</c:v>
              </c:pt>
              <c:pt idx="2">
                <c:v>HOR</c:v>
              </c:pt>
            </c:strLit>
          </c:cat>
          <c:val>
            <c:numLit>
              <c:formatCode>General</c:formatCode>
              <c:ptCount val="3"/>
              <c:pt idx="0">
                <c:v>2</c:v>
              </c:pt>
              <c:pt idx="1">
                <c:v>1</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17</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2026-04-02T08:25:00Z</dcterms:created>
  <dcterms:modified xsi:type="dcterms:W3CDTF">2026-04-02T08:25:00Z</dcterms:modified>
</cp:coreProperties>
</file>