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025845503"/>
            <w:r>
              <w:rPr>
                <w:color w:val="FFFFFF" w:themeColor="background1"/>
                <w:sz w:val="90"/>
                <w:szCs w:val="90"/>
              </w:rPr>
              <w:t xml:space="preserve">KRCS South Rift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9,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18,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20319613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766513760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025686688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1303396813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Gaps in asset management</w:t>
      </w:r>
      <w:r>
        <w:rPr>
          <w:rFonts w:asciiTheme="minorHAnsi" w:hAnsiTheme="minorHAnsi"/>
          <w:bCs/>
          <w:color w:val="070F13" w:themeColor="text1"/>
          <w:sz w:val="24"/>
        </w:rPr>
        <w:tab/>
      </w:r>
      <w:fldSimple w:instr=" PAGEREF _Toc689791403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Gaps in receivables management</w:t>
      </w:r>
      <w:r>
        <w:rPr>
          <w:rFonts w:asciiTheme="minorHAnsi" w:hAnsiTheme="minorHAnsi"/>
          <w:bCs/>
          <w:color w:val="070F13" w:themeColor="text1"/>
          <w:sz w:val="24"/>
        </w:rPr>
        <w:tab/>
      </w:r>
      <w:fldSimple w:instr=" PAGEREF _Toc800016220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F3 Gaps in navision usage</w:t>
      </w:r>
      <w:r>
        <w:rPr>
          <w:rFonts w:asciiTheme="minorHAnsi" w:hAnsiTheme="minorHAnsi"/>
          <w:bCs/>
          <w:color w:val="070F13" w:themeColor="text1"/>
          <w:sz w:val="24"/>
        </w:rPr>
        <w:tab/>
      </w:r>
      <w:fldSimple w:instr=" PAGEREF _Toc1395795897 ">
        <w:r>
          <w:rPr>
            <w:rFonts w:asciiTheme="minorHAnsi" w:hAnsiTheme="minorHAnsi"/>
            <w:bCs/>
            <w:color w:val="070F13" w:themeColor="text1"/>
            <w:sz w:val="24"/>
          </w:rPr>
          <w:t xml:space="preserve">15</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20319613"/>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main purpose of this audit is to review;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1.    Governance, risk management, financial management, income &amp; expenditure, procurement, human resource, volunteer management and internal controls, Branch Development Plan (BDP) and to identify control gaps.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2.    To identify opportunities for improvement.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Internal Audit and Risk Management’s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 part of the 2025 audit plan, the Internal Audit department conducted a review of KRCS South Rift branches ( Bomet, Baringo, Kericho, Nyandarua and Narok) to determine if the controls are operating effectively and in compliance with the Society's policies and objectives.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review was designed to cover governance, risk management and internal control processes for the period July 2025 to September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766513760"/>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57%</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themeColor="text1"/>
          <w:sz w:val="24"/>
          <w:szCs w:val="24"/>
        </w:rPr>
        <w:t xml:space="preserve">Based on the work done, we conclude that the controls around asset management,receivables management, procurement management, income, payments, navision usage and humanity power walk NEEDS IMPROVEMENT. We have identified a number of controls gaps that requires management attention.</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We thank the South Rift region team for the support accorded during this exercise.</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025686688"/>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Assets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Receivables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Procurement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100%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Payments (volunteers and board members)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100%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Navision usage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Income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100%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Power of Humanity Walk</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100%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1303396813"/>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asset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Accountant - Branch</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November 30, 2025</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receivables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Accountant - Branch</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November 30, 2025</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navision usage</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IT - HQ</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November 30, 2025</w:t>
            </w: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689791403"/>
            <w:r>
              <w:rPr/>
              <w:t xml:space="preserve"> F1 Gaps in asset management</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Accountant - Branch</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13,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30, 2025</w:t>
            </w: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Audit Verifying</w:t>
            </w: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Gaps in asset management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Assets with unassigned costs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7.4 of the finance manual states that property and equipment are capitalized and recognized at cost or valuation. Further, IAS 16 – Property, Plant and Equipment states that: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Donated (non-monetary) assets should be measured at fair value at the date of donation and recognized accordingly in the books of account.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recorded at zero or no value result in incomplete financial disclosures and misstatement of organizational resources.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identified that several assets received through donations from the HQ that were recorded in the fixed asset register without any assigned monetary value. These include: 7 bicycles, 5 plastic chairs, 6kg gas, wheel chair and movable drawers.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was seen in Nyandarua branch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 Incomplete asset registers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7.5 of the finance manual states that property and equipment register is maintained for all KRCS assets. The assets accountant will be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responsible for maintaining the register and ensures that it is constantly being updated. Best practices also dictate that on the minimum an asset register should have the following key fields, Asset ID / Tag Number, Asset Description,Serial Number, Asset Class / Category, Location, Custodian / User, Acquisition Date, Supplier / Donor, Cost / Fair Value, Useful Life, Depreciation Method, Depreciation Rate, Accumulated Depreciation, Net Book Value (NBV) and Condition / Status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the fixed asset registers revealed that key information fields were missing for a significant number of recorded assets. Specifically: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Serial numbers, tag number, model numbers and user responsibility fields were not recorded for a number of assets in all the branches. All the branches but Kericho had no updated depreciation, accumulated depreciation and net book value (NBV).</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limits the register's usefulness in providing accurate asset values and tracking life cycles.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 Presence of obsolete assets in the asset register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accordance with IAS 16 – Property, Plant and Equipment: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that are no longer in use and provide no future economic benefits should be removed from active records through impairment, write-off, or disposal, depending on their condition and value.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Regular asset reviews and physical verification should be used to ensure the asset register reflects the current status of all assets.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performed a physical verification of the assets and one assets listed in the fixed asset register, scanner was obsolete or no longer in use, yet continue to be recorded as active asset.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the branches had at least 3 impaired assets in the asset register.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 Untagged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According to best practices in asset control: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fixed assets should be assigned a unique identification number or asset tag (e.g., barcode or label) upon acquisition.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tagging facilitates accurate tracking, control, accountability, and reconciliation between the physical asset and the asset register.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management frameworks  and good governance guidelines recommend proper asset identification as a control mechanism.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physical verification of assets across the branches, it was observed that the majority of assets do not have visible asset tags or identification labels. This makes it difficult to match physical assets with the entries in the asset register and creates a risk of misidentification, duplication, or misappropriation.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was seen in all the branches but Narok.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registration practices focused primarily on purchased items.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valuation of the donated items.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automation of the asset registers.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accounting standards.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Infrequent updates of the asset register following physical verification exercises.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 in providing the asset tags from the headquarters.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Understatement of asset values in the financial statements.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asset misclassification, misstatement, or loss.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Overstatement of asset values and net book value in the financial statements.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Inability to conduct accurate physical verification and reconciliation with the register.</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Conduct a comprehensive asset tagging exercise covering all active fixed assets, prioritizing high-value and portable items.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all non-functional and idle assets in the register and determine whether they should be impaired, written off, or disposed of in line with the organization's policy.</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Conduct a comprehensive review and cleanup of the asset register to update missing fields, especially serial numbers, asset classes, and depreciation details.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Finance team should establish and implement a procedure for assessing and documenting fair value of donated items upon receipt.</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Asset register update ongoing, tagging of assets with all obsolete assets identifies and presented for disposal</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u w:val="single" w:color="000000"/>
                <w:vertAlign w:val="baseline"/>
              </w:rPr>
              <w:t xml:space="preserve">IA remarks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Valuation to be done </w:t>
            </w: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800016220"/>
            <w:r>
              <w:rPr/>
              <w:t xml:space="preserve"> F2 Gaps in receivables management</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Receivables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Accountant - Branch</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13,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30, 2025</w:t>
            </w: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Audit Verifying</w:t>
            </w: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Long overdue receivables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Sound financial management principles require timely collection of receivables to maintain liquidity and prevent bad debts. IFRS 9 – Financial Instruments also requires entities to assess receivables for expected credit losses, especially for overdue amounts.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noted that the branch has a number of receivables relating to mileages awaiting payment from HQ as follows: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466"/>
              <w:gridCol w:w="1414"/>
              <w:gridCol w:w="2391"/>
              <w:gridCol w:w="1673"/>
              <w:gridCol w:w="6307"/>
              <w:gridCol w:w="1933"/>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Receivable/Payable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Recoverable </w:t>
                  </w: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Nyandarua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Mileage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283,395.00 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Balance relates to mileage charged to various projects by the branch. The balance is awaiting processing from the headquarters. Kshs 64,190 is overdue while 199,131 is current.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283,395.00 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Kericho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Bureti Technical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College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81,000.00 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Balances arose with the former CC. Bureti Technical and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Kericho County have disputed the balances. For Diwafa no contact has ever been found hence following up has proven to be difficult. The balances have been outstanding for more than 1 year thus write off is recommended. There are no handover documents relating to those balances. When handing over it's only the list that was given. Basically there was no documentation.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Diwafa Limited Company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132,000.00  </w:t>
                  </w: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Kericho County Referral Hospital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15,000.00  </w:t>
                  </w: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Mileage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294,105.00 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mileages for projects HSS158, DPR562. The branch is awaiting for payment to be processed by the HQ since all the approvals have been completed. Kshs 398,265 is overdue while -104,160 relates to payables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522,105.00 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Baringo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Fleet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1,800,000.00 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down payment for the purchase of a new vehicle made by Baringo Branch to the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The balance is 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Mileage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817,749.00 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mileage owed by different projects from different regions. HSS059(CP3)-Kshs 359,100 from 2024 was halted since it was being funded by USAID (This is doubtful), HSS629 (UNICEF). HSS629-Kshs 160,335 (Dec 2024) has promised to pay in the course of the month. The rest of the balance i.e. Kshs 298,314 arose in 2024 and is not doubtful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One project balance is doubtful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2,617,749.00 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Bomet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Emergency Plus Medical Services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Balance dates to 2023. Relates to basic first aid training offered by the branch to E-Plus. E-Plus instead opted to pay ICHA for these including. Balance needs to be written off.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Kapset Tea Factory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Balance dates to August 2024. The cheque has been written awaiting banking.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Fleet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1,804,020.00 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deposit for the purchase of a Land cruiser placed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with the fleet management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Mileage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5,103,494.69 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Balances relates to mileages owed by HQ dating back to as far as 2017. Kshs 3.8 million relates to projects beyond 2023 that have already been closed thus recovering the funds will be difficult. A write off has been proposed for those balances.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3.8 million not 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Other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752,924.75 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The balances dates back to 2018 owed by different projects. Most of the projects have since closed and recovering the balances will be impossible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recoverable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South Rift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salaries for a staff who were supporting the region in the supply chain department.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Recoverable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7,793,439.44 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Narok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Other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1,210,940.00 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Balance relates to receivables owed by different projects which have already ended. Kshs 759,540 is long overdue and recovering it is doubtful. Balance of Kshs 461,500 is owed by Ford Foundation and is recoverable.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Part of it is doubtful and the other is recoverable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1,210,940.00 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 Misclassification of payables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Framework for Financial Reporting requires that assets and liabilities be properly distinguished to ensure faithful representation of the entity’s financial position.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our review ,we noted a number of items recorded as receivables, although they related to outstanding obligations to Nakuru branch and South Rift region. These were as per below: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480"/>
              <w:gridCol w:w="1428"/>
              <w:gridCol w:w="1657"/>
              <w:gridCol w:w="1597"/>
              <w:gridCol w:w="7677"/>
              <w:gridCol w:w="1345"/>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Payable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Payable? </w:t>
                  </w: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Nyandarua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Nakuru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(27,115.00)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salary for one staff who is the only staff of Nyandarua Branch.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The salary is paid by Nakuru branch and reimbursed by Nyandarua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South Rift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(828,340.00)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These balances relates salaries for CC and admin assistant which were being paid by the region. The balances are yet to be reimbursed. The balances dates to January 2020 to April 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payable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(855,455.00)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Kericho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South Rift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(772,065.84)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Mainly consists of salaries, statutory and audit fees dating back to 2020 paid for by the region on behalf of the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payable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Narok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South Rift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(150,119.00)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Relates to expenses paid for by the region on behalf of the branch because the branch does not have an accountant such as elections support.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Payable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Payment delays by the headquarters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Closure of some projects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review of the nature of accounts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 of non-compliance with accounting standards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Overstatement of assets (receivables) and understatement of liabilities (payables)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flow constraints - Uncollected receivables limit the organization's liquidity and ability to meet short-term obligations.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Perform a detailed review of all balances misclassified and post correcting journal entries.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Provision of long overdue receivables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Reconciliation of receivables ongoing and list of proposed write off will be shared before end of August 2025 for approval.</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Creation of project codes as customers in mashinani Navision is ongoing</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u w:val="single" w:color="000000"/>
                <w:vertAlign w:val="baseline"/>
              </w:rPr>
              <w:t xml:space="preserve">IA remarks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Mileage invoices are currently billed on weekly basis working with logistics team to ensure that the process is streamlined.</w:t>
            </w: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395795897"/>
            <w:r>
              <w:rPr/>
              <w:t xml:space="preserve"> F3 Gaps in navision usage</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Navision usage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IT - HQ</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19,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30, 2025</w:t>
            </w: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Audit Verifying</w:t>
            </w: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(a.)Procurement done off the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3.3 of the finance manual states that KRCS operates and maintains Enterprise Resource Planning software package called Microsoft Dynamics Nav Classic. This ERP through if Financial Management module enables the society to record and processes accounting transactions within functional modules of the General Ledger, Cash Management, Receivables, Payables, Fixed Assets and Inventory.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verified that Nyandarua and Bomet branches uses all the modules of navision as required by the finance policy. These modules are: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Sales - The branch uses this to generate the mileage invoice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management - This module deals with all the Financial Transaction that we carry out in a company. The functionalities include, but are not limited to, G/L budgeting, financial reporting, cash management, receivables and payables and fixed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Supply chain management - The entire procurement process is carried out in Microsoft Dynamics. Logistics is also carried out in the system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Fixed assets - The fixed assets register is also maintained in the system by the RFO.</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Narok and Kericho cannot generate the purchase request form (PRF) because they are not mapped in navision while Baringo does not have approval rights. We verified that the PRFs and LPOs are done outside the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staff at the branch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Capacity gap in navision usage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Branches not mapped in Navision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Bypassing system modules often results in parallel manual processes, which are prone to errors, inconsistencies, and duplication of data entry.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Certain controls and approval workflows are built into Navision modules. Not using all modules may circumvent these controls, increasing the risk of fraud, unauthorized transactions, and policy breaches.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Mapping of the branches in navision</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Training of the staff on navision usage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Training of all Navision users is ongoing. Procurement and logistics training is done next on the schedule are the finance users.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u w:val="single" w:color="000000"/>
                <w:vertAlign w:val="baseline"/>
              </w:rPr>
              <w:t xml:space="preserve">IA remarks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Mapping of Narok and Kericho Branches have been done.</w:t>
            </w: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South Rift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16</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ad9e3af1"/>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High</c:v>
              </c:pt>
              <c:pt idx="1">
                <c:v>Medium</c:v>
              </c:pt>
            </c:strLit>
          </c:cat>
          <c:val>
            <c:numLit>
              <c:formatCode>General</c:formatCode>
              <c:ptCount val="2"/>
              <c:pt idx="0">
                <c:v>2</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Accountant - Branch</c:v>
              </c:pt>
              <c:pt idx="1">
                <c:v>IT - HQ</c:v>
              </c:pt>
            </c:strLit>
          </c:cat>
          <c:val>
            <c:numLit>
              <c:formatCode>General</c:formatCode>
              <c:ptCount val="2"/>
              <c:pt idx="0">
                <c:v>2</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16</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2026-04-02T08:54:00Z</dcterms:created>
  <dcterms:modified xsi:type="dcterms:W3CDTF">2026-04-02T08:54:00Z</dcterms:modified>
</cp:coreProperties>
</file>