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321392561"/>
            <w:r>
              <w:rPr>
                <w:color w:val="FFFFFF" w:themeColor="background1"/>
                <w:sz w:val="90"/>
                <w:szCs w:val="90"/>
              </w:rPr>
              <w:t xml:space="preserve">KRCS Tana River Branch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20,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20,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610008626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459737199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955214785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1745214780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Gaps in Fleet Management</w:t>
      </w:r>
      <w:r>
        <w:rPr>
          <w:rFonts w:asciiTheme="minorHAnsi" w:hAnsiTheme="minorHAnsi"/>
          <w:bCs/>
          <w:color w:val="070F13" w:themeColor="text1"/>
          <w:sz w:val="24"/>
        </w:rPr>
        <w:tab/>
      </w:r>
      <w:fldSimple w:instr=" PAGEREF _Toc684296437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Inaccurate bank reconciliations</w:t>
      </w:r>
      <w:r>
        <w:rPr>
          <w:rFonts w:asciiTheme="minorHAnsi" w:hAnsiTheme="minorHAnsi"/>
          <w:bCs/>
          <w:color w:val="070F13" w:themeColor="text1"/>
          <w:sz w:val="24"/>
        </w:rPr>
        <w:tab/>
      </w:r>
      <w:fldSimple w:instr=" PAGEREF _Toc1227010001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F3 Long outstanding Receivables</w:t>
      </w:r>
      <w:r>
        <w:rPr>
          <w:rFonts w:asciiTheme="minorHAnsi" w:hAnsiTheme="minorHAnsi"/>
          <w:bCs/>
          <w:color w:val="070F13" w:themeColor="text1"/>
          <w:sz w:val="24"/>
        </w:rPr>
        <w:tab/>
      </w:r>
      <w:fldSimple w:instr=" PAGEREF _Toc798839637 ">
        <w:r>
          <w:rPr>
            <w:rFonts w:asciiTheme="minorHAnsi" w:hAnsiTheme="minorHAnsi"/>
            <w:bCs/>
            <w:color w:val="070F13" w:themeColor="text1"/>
            <w:sz w:val="24"/>
          </w:rPr>
          <w:t xml:space="preserve">11</w:t>
        </w:r>
      </w:fldSimple>
    </w:p>
    <w:p>
      <w:pPr>
        <w:pStyle w:val="TOC1"/>
        <w:spacing w:before="120"/>
        <w:rPr/>
      </w:pPr>
      <w:r>
        <w:rPr>
          <w:rFonts w:asciiTheme="minorHAnsi" w:hAnsiTheme="minorHAnsi"/>
          <w:bCs/>
          <w:color w:val="070F13" w:themeColor="text1"/>
          <w:sz w:val="24"/>
        </w:rPr>
        <w:t xml:space="preserve">F3 Long Outstanding Payables</w:t>
      </w:r>
      <w:r>
        <w:rPr>
          <w:rFonts w:asciiTheme="minorHAnsi" w:hAnsiTheme="minorHAnsi"/>
          <w:bCs/>
          <w:color w:val="070F13" w:themeColor="text1"/>
          <w:sz w:val="24"/>
        </w:rPr>
        <w:tab/>
      </w:r>
      <w:fldSimple w:instr=" PAGEREF _Toc932932473 ">
        <w:r>
          <w:rPr>
            <w:rFonts w:asciiTheme="minorHAnsi" w:hAnsiTheme="minorHAnsi"/>
            <w:bCs/>
            <w:color w:val="070F13" w:themeColor="text1"/>
            <w:sz w:val="24"/>
          </w:rPr>
          <w:t xml:space="preserve">13</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610008626"/>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The main purpose of this audit is to review;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Governance, risk management, financial management, income &amp; expenditure, procurement, human resource, volunteer management and internal controls, Branch Development Plan (BDP) and to identify control gaps.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To identify opportunities for improvement.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00000"/>
          <w:sz w:val="24"/>
          <w:szCs w:val="24"/>
        </w:rPr>
        <w:t xml:space="preserve">Internal Audit and Risk Management’s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As part of the 2025 audit plan, the Internal Audit department conducted a review of the KRCS Tana River Branch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The review was designed to cover governance, risk management and internal control processes for the period January 2025 to May 2025.</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 </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459737199"/>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31%</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sz w:val="24"/>
          <w:szCs w:val="24"/>
        </w:rPr>
        <w:t xml:space="preserve">Following our review, we conclude that the controls around KRCS Tana River Branch processes </w:t>
      </w:r>
      <w:r>
        <w:rPr>
          <w:rFonts w:ascii="Calibri" w:hAnsi="Calibri"/>
          <w:b w:val="on"/>
          <w:color w:val="070F13"/>
          <w:sz w:val="24"/>
          <w:szCs w:val="24"/>
        </w:rPr>
        <w:t xml:space="preserve">NEEDS IMPROVEMENT</w:t>
      </w:r>
      <w:r>
        <w:rPr>
          <w:rFonts w:ascii="Calibri" w:hAnsi="Calibri"/>
          <w:b w:val="off"/>
          <w:color w:val="070F13"/>
          <w:sz w:val="24"/>
          <w:szCs w:val="24"/>
        </w:rPr>
        <w:t xml:space="preserve">. We observed control gaps as detailed in this report that require management action</w:t>
      </w:r>
      <w:r>
        <w:rPr>
          <w:rFonts w:ascii="Calibri" w:hAnsi="Calibri"/>
          <w:color w:val="070F13" w:themeColor="text1"/>
          <w:sz w:val="24"/>
          <w:szCs w:val="24"/>
        </w:rPr>
        <w:t xml:space="preserve">.</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Notably the branch had resolved  prior internal audit findings on land management by obtaining a title deed and the branch was renovated as at the time of the spot check. (June 19, 2025). </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955214785"/>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Fleet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Income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60%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Expense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50%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Receivables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Payables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Procurement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80%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1745214780"/>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Fleet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RLO COR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Inaccurate bank reconciliations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COR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Receivables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Payables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684296437"/>
            <w:r>
              <w:rPr/>
              <w:t xml:space="preserve"> F1 Gaps in Fleet Management</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Fleet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RLO COR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1.Inadequate fuel vendor management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Per clause 2.2 of the procurement manual, it is necessary to ensure that only vendors who are prequalified transact with the organization in various categories. From our review of fuel management at the branch we noted the following;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The branch has engaged Gold nest trading company limited for supply of fuel amounting to Kshs 200,000 however, this vendor is not prequalified and there was no contract provided between the branch and this supplier.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Additionally the branch has engaged Heller Petroleum Limited, an un prequalified vendor with a contract signed by the County Coordinator on May 2nd 2025. As at the time of audit (June 20th 2025) the branch had made payments to the vendor amounting to Kshs 127,225 with regards to fuel costs.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2.Disposal of branch vehicle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Per clause 11.2 of the fleet manual Maintenance of vehicles becomes more expensive as they age. It will therefore be prudent to replace vehicles before they become too old to run. Additionally, motor cycles/Saloons/Pickups/Station wagons – replaced after 150,000KM or 5 years, whichever comes first. However as at May 31,2025, the Odometer reading of the branch vehicle KCL420G was 353,836 which is past the policy mileage for disposal.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Inadequate management oversight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Override of internal controls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Inadequate asset disposal strategy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Inadequate management follow up on disposal of vehicles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Non adherence to policies and procedures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Loss of funds</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 vehicle maintenance costs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Management should ensure:</w:t>
            </w:r>
          </w:p>
          <w:p>
            <w:pPr>
              <w:pStyle w:val="BodyText"/>
              <w:numPr>
                <w:ilvl w:val="0"/>
                <w:numId w:val="14"/>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Adherence to policy in engagement of fuel vendors</w:t>
            </w:r>
          </w:p>
          <w:p>
            <w:pPr>
              <w:pStyle w:val="BodyText"/>
              <w:numPr>
                <w:ilvl w:val="0"/>
                <w:numId w:val="14"/>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Disposal of vehicles as per policy requirements.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1227010001"/>
            <w:r>
              <w:rPr/>
              <w:t xml:space="preserve"> F2 Inaccurate bank reconciliations</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COR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Bank reconciliations are a critical component of maintaining the integrity of a company’s financial reporting. They ensure that cash balances reflected in the company’s financial statements align with those reported by the bank. Timely and accurate reconciliations are critical for preventing discrepancies, safeguarding cash, and ensuring that financial statements provide a true and fair view of the company’s financial position.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 However, from the sampled review of January 2025 to May 2025 bank reconciliations we noted that statement ending balances and cash book balances were not reconciled leading to misstated cash and bank balances as summarized below; </w:t>
            </w:r>
          </w:p>
          <w:tbl>
            <w:tblPr>
              <w:tblW w:w="92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148"/>
              <w:gridCol w:w="1037"/>
              <w:gridCol w:w="2198"/>
              <w:gridCol w:w="1905"/>
              <w:gridCol w:w="1363"/>
              <w:gridCol w:w="1609"/>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Adj statement balance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Cash book balance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Variance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BNK012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March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(79,827.05)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43,806.95 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(123,634)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3/3/2020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(79,827.05)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43,806.95 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(123,634)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Statement incorporating 2017 entries resulting to errors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System not picking 2025 bank reconciliations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Misstated bank balances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Management should ensure;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Ensure proper system configuration to reflect correct  balances on bank reconciliations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Fastrack the reinstatement of bank reconciliations for accuracy of bank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798839637"/>
            <w:r>
              <w:rPr/>
              <w:t xml:space="preserve"> F3 Long outstanding Receivables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Receivables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of receivables is vital to mitigate long outstanding accounts receivables that tie up the company's financial resources  whose payment is not certain. From our review of receivables we  noted that the branch has long outstanding receivables as shown below; </w:t>
            </w:r>
          </w:p>
          <w:tbl>
            <w:tblPr>
              <w:tblW w:w="1142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629"/>
              <w:gridCol w:w="1855"/>
              <w:gridCol w:w="1660"/>
              <w:gridCol w:w="1661"/>
              <w:gridCol w:w="1759"/>
              <w:gridCol w:w="1856"/>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Row Labels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&lt;1/1/2023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PRRO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165,000.00 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KRCS-COAST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1,212,600.50 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762,176.70 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321,009.50 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(716,215.50)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1,579,571.20 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139,000.00 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257,500.00 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42,000.00 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579,500.00 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1,351,600.50 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993,176.70 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653,509.50 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(674,215.50)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2,324,071.20 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 expenditure on projects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follow up on debtor balances to ensure full recovery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Financial loss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Management should ensure;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Write off of irrecoverable receivable balances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Adequate follow up on recovering intercompany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932932473"/>
            <w:r>
              <w:rPr/>
              <w:t xml:space="preserve"> F3 Long Outstanding Payables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Payables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Best practice guides that overdue payables should be assessed against the company’s established accounts payable policies, vendor agreements, and payment terms. The extent of overdue payments should be identified, and their impact on operational efficiency, financial consequences, and internal controls should be evaluated. Additionally, the potential risks, including reputational damage or legal action, should be considered, along with management’s awareness and actions to resolve the overdue payables.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From our review of payables for the branch we observed that the branch had a long overdue payable amounting to Kshs 106,678  out of Kshs 208,089 as summarized below; </w:t>
            </w:r>
          </w:p>
          <w:tbl>
            <w:tblPr>
              <w:tblW w:w="69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191"/>
              <w:gridCol w:w="1596"/>
              <w:gridCol w:w="1596"/>
              <w:gridCol w:w="1597"/>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Details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Heller Petroleum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148,837.00 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Lamu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(30,167.00)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(30,167.00)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Pioneer General Insurance limited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(106,678.00)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(71,244.00)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(177,922.00)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(blank)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(148,837.00)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(106,678.00)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(101,411.00)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(208,089.00)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Cash flow constraints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Strained vendor relations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Management should ensure there is efficient cash flow management to meet obligations as and when they fall due.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Tana River Branch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14</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570977d4"/>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3">
    <w:multiLevelType w:val="hybridMultilevel"/>
    <w:tmpl w:val="8e63831a"/>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4">
    <w:multiLevelType w:val="hybridMultilevel"/>
    <w:tmpl w:val="cfe0c63c"/>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High</c:v>
              </c:pt>
              <c:pt idx="1">
                <c:v>Medium</c:v>
              </c:pt>
            </c:strLit>
          </c:cat>
          <c:val>
            <c:numLit>
              <c:formatCode>General</c:formatCode>
              <c:ptCount val="2"/>
              <c:pt idx="0">
                <c:v>1</c:v>
              </c:pt>
              <c:pt idx="1">
                <c:v>3</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3"/>
              <c:pt idx="0">
                <c:v>RLO COR</c:v>
              </c:pt>
              <c:pt idx="1">
                <c:v>RFO COR</c:v>
              </c:pt>
              <c:pt idx="2">
                <c:v>RFO</c:v>
              </c:pt>
            </c:strLit>
          </c:cat>
          <c:val>
            <c:numLit>
              <c:formatCode>General</c:formatCode>
              <c:ptCount val="3"/>
              <c:pt idx="0">
                <c:v>1</c:v>
              </c:pt>
              <c:pt idx="1">
                <c:v>1</c:v>
              </c:pt>
              <c:pt idx="2">
                <c:v>2</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14</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2026-04-02T08:44:00Z</dcterms:created>
  <dcterms:modified xsi:type="dcterms:W3CDTF">2026-04-02T08:44:00Z</dcterms:modified>
</cp:coreProperties>
</file>