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918952942"/>
            <w:r>
              <w:rPr>
                <w:color w:val="FFFFFF" w:themeColor="background1"/>
                <w:sz w:val="90"/>
                <w:szCs w:val="90"/>
              </w:rPr>
              <w:t xml:space="preserve">KRCS West Kenya Spot Check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16,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July  4,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637693315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638860602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708202187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641087393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F1 Gaps in Land management</w:t>
      </w:r>
      <w:r>
        <w:rPr>
          <w:rFonts w:asciiTheme="minorHAnsi" w:hAnsiTheme="minorHAnsi"/>
          <w:bCs/>
          <w:color w:val="070F13" w:themeColor="text1"/>
          <w:sz w:val="24"/>
        </w:rPr>
        <w:tab/>
      </w:r>
      <w:fldSimple w:instr=" PAGEREF _Toc1691688670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F2 Gaps in the procurement process</w:t>
      </w:r>
      <w:r>
        <w:rPr>
          <w:rFonts w:asciiTheme="minorHAnsi" w:hAnsiTheme="minorHAnsi"/>
          <w:bCs/>
          <w:color w:val="070F13" w:themeColor="text1"/>
          <w:sz w:val="24"/>
        </w:rPr>
        <w:tab/>
      </w:r>
      <w:fldSimple w:instr=" PAGEREF _Toc1144407998 ">
        <w:r>
          <w:rPr>
            <w:rFonts w:asciiTheme="minorHAnsi" w:hAnsiTheme="minorHAnsi"/>
            <w:bCs/>
            <w:color w:val="070F13" w:themeColor="text1"/>
            <w:sz w:val="24"/>
          </w:rPr>
          <w:t xml:space="preserve">9</w:t>
        </w:r>
      </w:fldSimple>
    </w:p>
    <w:p>
      <w:pPr>
        <w:pStyle w:val="TOC1"/>
        <w:spacing w:before="120"/>
        <w:rPr/>
      </w:pPr>
      <w:r>
        <w:rPr>
          <w:rFonts w:asciiTheme="minorHAnsi" w:hAnsiTheme="minorHAnsi"/>
          <w:bCs/>
          <w:color w:val="070F13" w:themeColor="text1"/>
          <w:sz w:val="24"/>
        </w:rPr>
        <w:t xml:space="preserve">F3 Inadequate cash and bank management</w:t>
      </w:r>
      <w:r>
        <w:rPr>
          <w:rFonts w:asciiTheme="minorHAnsi" w:hAnsiTheme="minorHAnsi"/>
          <w:bCs/>
          <w:color w:val="070F13" w:themeColor="text1"/>
          <w:sz w:val="24"/>
        </w:rPr>
        <w:tab/>
      </w:r>
      <w:fldSimple w:instr=" PAGEREF _Toc1694464503 ">
        <w:r>
          <w:rPr>
            <w:rFonts w:asciiTheme="minorHAnsi" w:hAnsiTheme="minorHAnsi"/>
            <w:bCs/>
            <w:color w:val="070F13" w:themeColor="text1"/>
            <w:sz w:val="24"/>
          </w:rPr>
          <w:t xml:space="preserve">14</w:t>
        </w:r>
      </w:fldSimple>
    </w:p>
    <w:p>
      <w:pPr>
        <w:pStyle w:val="TOC1"/>
        <w:spacing w:before="120"/>
        <w:rPr/>
      </w:pPr>
      <w:r>
        <w:rPr>
          <w:rFonts w:asciiTheme="minorHAnsi" w:hAnsiTheme="minorHAnsi"/>
          <w:bCs/>
          <w:color w:val="070F13" w:themeColor="text1"/>
          <w:sz w:val="24"/>
        </w:rPr>
        <w:t xml:space="preserve">F4 Gaps in asset management</w:t>
      </w:r>
      <w:r>
        <w:rPr>
          <w:rFonts w:asciiTheme="minorHAnsi" w:hAnsiTheme="minorHAnsi"/>
          <w:bCs/>
          <w:color w:val="070F13" w:themeColor="text1"/>
          <w:sz w:val="24"/>
        </w:rPr>
        <w:tab/>
      </w:r>
      <w:fldSimple w:instr=" PAGEREF _Toc1110510497 ">
        <w:r>
          <w:rPr>
            <w:rFonts w:asciiTheme="minorHAnsi" w:hAnsiTheme="minorHAnsi"/>
            <w:bCs/>
            <w:color w:val="070F13" w:themeColor="text1"/>
            <w:sz w:val="24"/>
          </w:rPr>
          <w:t xml:space="preserve">17</w:t>
        </w:r>
      </w:fldSimple>
    </w:p>
    <w:p>
      <w:pPr>
        <w:pStyle w:val="TOC1"/>
        <w:spacing w:before="120"/>
        <w:rPr/>
      </w:pPr>
      <w:r>
        <w:rPr>
          <w:rFonts w:asciiTheme="minorHAnsi" w:hAnsiTheme="minorHAnsi"/>
          <w:bCs/>
          <w:color w:val="070F13" w:themeColor="text1"/>
          <w:sz w:val="24"/>
        </w:rPr>
        <w:t xml:space="preserve">F5 Long Outstanding Payables</w:t>
      </w:r>
      <w:r>
        <w:rPr>
          <w:rFonts w:asciiTheme="minorHAnsi" w:hAnsiTheme="minorHAnsi"/>
          <w:bCs/>
          <w:color w:val="070F13" w:themeColor="text1"/>
          <w:sz w:val="24"/>
        </w:rPr>
        <w:tab/>
      </w:r>
      <w:fldSimple w:instr=" PAGEREF _Toc1864056549 ">
        <w:r>
          <w:rPr>
            <w:rFonts w:asciiTheme="minorHAnsi" w:hAnsiTheme="minorHAnsi"/>
            <w:bCs/>
            <w:color w:val="070F13" w:themeColor="text1"/>
            <w:sz w:val="24"/>
          </w:rPr>
          <w:t xml:space="preserve">22</w:t>
        </w:r>
      </w:fldSimple>
    </w:p>
    <w:p>
      <w:pPr>
        <w:pStyle w:val="TOC1"/>
        <w:spacing w:before="120"/>
        <w:rPr/>
      </w:pPr>
      <w:r>
        <w:rPr>
          <w:rFonts w:asciiTheme="minorHAnsi" w:hAnsiTheme="minorHAnsi"/>
          <w:bCs/>
          <w:color w:val="070F13" w:themeColor="text1"/>
          <w:sz w:val="24"/>
        </w:rPr>
        <w:t xml:space="preserve">F6 Long Overdue receivables</w:t>
      </w:r>
      <w:r>
        <w:rPr>
          <w:rFonts w:asciiTheme="minorHAnsi" w:hAnsiTheme="minorHAnsi"/>
          <w:bCs/>
          <w:color w:val="070F13" w:themeColor="text1"/>
          <w:sz w:val="24"/>
        </w:rPr>
        <w:tab/>
      </w:r>
      <w:fldSimple w:instr=" PAGEREF _Toc79767686 ">
        <w:r>
          <w:rPr>
            <w:rFonts w:asciiTheme="minorHAnsi" w:hAnsiTheme="minorHAnsi"/>
            <w:bCs/>
            <w:color w:val="070F13" w:themeColor="text1"/>
            <w:sz w:val="24"/>
          </w:rPr>
          <w:t xml:space="preserve">26</w:t>
        </w:r>
      </w:fldSimple>
    </w:p>
    <w:p>
      <w:pPr>
        <w:pStyle w:val="TOC1"/>
        <w:spacing w:before="120"/>
        <w:rPr/>
      </w:pPr>
      <w:r>
        <w:rPr>
          <w:rFonts w:asciiTheme="minorHAnsi" w:hAnsiTheme="minorHAnsi"/>
          <w:bCs/>
          <w:color w:val="070F13" w:themeColor="text1"/>
          <w:sz w:val="24"/>
        </w:rPr>
        <w:t xml:space="preserve">F7 Weak controls around Income and Expenditure</w:t>
      </w:r>
      <w:r>
        <w:rPr>
          <w:rFonts w:asciiTheme="minorHAnsi" w:hAnsiTheme="minorHAnsi"/>
          <w:bCs/>
          <w:color w:val="070F13" w:themeColor="text1"/>
          <w:sz w:val="24"/>
        </w:rPr>
        <w:tab/>
      </w:r>
      <w:fldSimple w:instr=" PAGEREF _Toc266933153 ">
        <w:r>
          <w:rPr>
            <w:rFonts w:asciiTheme="minorHAnsi" w:hAnsiTheme="minorHAnsi"/>
            <w:bCs/>
            <w:color w:val="070F13" w:themeColor="text1"/>
            <w:sz w:val="24"/>
          </w:rPr>
          <w:t xml:space="preserve">29</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637693315"/>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Review of Assets Management</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Receivables and Payable balances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procurement process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income and payments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mandate of Internal Audit and Risk assurance is to assess that risks are managed comprehensively and provide assurance regarding the effectiveness of internal controls. This ensures the Society operates efficiently and effectively as a whole. The West Kenya Region spot check is a vital component of the 2025 approved annual internal audit work plan.</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scope of work is the following branches in West Kenya region Kisumu, Siaya, Busia , Kakamega and Vihiga for the period January 2025 to May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638860602"/>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Following our review, we conclude that the controls around KRCS West Kenya Branches processes NEEDS IMPROVEMENT. We observed control gaps as detailed in this report that require management action.</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708202187"/>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Procurement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controls around Income and Expenditure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Payables and Receivables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Cash and Bank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Fixed Assets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Land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1</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7</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7</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641087393"/>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Land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the procurement process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RSCMO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Inadequate cash and bank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asset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F5</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Long Outstanding Payables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F6</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Long Overdue receivables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F7</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Weak controls around Income and Expenditure </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Low</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691688670"/>
            <w:r>
              <w:rPr/>
              <w:t xml:space="preserve"> F1 Gaps in Land management</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Land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4,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Absence of title deed for West Kenya regional branches Land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Our review of land ownership and management at the West Kenya regional Branches (Busia, Siaya, Kakamega, Vihiga and Kisumu) revealed that the land allocated to the branches did not have a registered title deed to legally confirm ownership. The lack of this critical legal document exposes the organization to risks such as ownership disputes, encroachment, or loss of property rights. It may also limit the organization’s ability to develop the land, use it as collateral, or reflect it accurately in the financial statements. According to best practices and legal requirements, a valid and registered title deed is essential to establish and safeguard property ownership.</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Delays in processing title deed documentation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Incomplete land transfer process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follow-up with relevant authorities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Loss of the property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It may also hinder the organization’s ability to use the land as collateral</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expedite the process of obtaining the official title deed</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1144407998"/>
            <w:r>
              <w:rPr/>
              <w:t xml:space="preserve"> F2 Gaps in the procurement process</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Procurement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RSCMO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6,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Procurement management is an integral part of an organization and is essential to program success and users and or beneficiaries.  It encompasses all activities in sourcing, purchasing and managing vendors  guided by a budget and timelines. Effective procurement management helps an organization achieve cost savings, improve efficiency and enhances quality assurance in each purchase. The procurement process should aim to promote competition and ensure fairness. We reviewed the procurements done by the branches in West Kenya region and noted the following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a)Conflict of interest in procurements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Section 4.6: Avoiding Trading Entities of the related party policy guides that a conflict of interest arises when the Society engages in the buying and reselling of goods from a related party, particularly in the context of its humanitarian efforts. This conflict occurs because trading entities typically source goods competitively from the open market and aim to sell them for a profit or markup. In contrast, the procuring entity can access the same market and avoid the markup, which creates an imbalance. To prevent such conflicts, procuring entities must refrain from purchasing traded goods from related parties. Instead, they should focus on acquiring only services and manufactured goods from related parties. As a result, the Society's Branches and Regions are expected to trade only in goods and services they have produced internally, and they are prohibited from outsourcing goods and services to sell to any other part of the Society.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our review of procurements by the branches in West Kenya we noted that branches were involved in brokering arrangements where they were procuring conference facilities and later offering the same to projects at a markup this was particularly observed in branches where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projects were being implemented. Below is a summary </w:t>
            </w:r>
          </w:p>
          <w:tbl>
            <w:tblPr>
              <w:tblW w:w="1338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876"/>
              <w:gridCol w:w="3089"/>
              <w:gridCol w:w="6640"/>
              <w:gridCol w:w="1775"/>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Posting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Document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INV.056/LELESTAR/BUS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Lunch_5-7/02/2025_VSLA Training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52,500.00 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INV.057/LELESTAR/BUS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Lunch_12-15/03/2025_UNICEF Training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INV.058/LELESTAR/BUS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Lunch_11/03/2025_UNICEF Training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INV.1207/RASTO/BUS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Full Day Conf_03-06/03/2025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186,000.00 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INV.1480/RASTO/BUS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Half Day Conf_14/01/25_Mpox Stakeholders Coord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54,000.00 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INV.1482/RASTO/BUS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Full Day Conf_11/02/25_Korean M&amp;E Reasearch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28,800.00 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INV.KRCS02/01/2025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Full Day Conf_16-17/01/2025_CBS Training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56,000.00 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INV.KRCS02/02/2025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Full Day Conf_10-11/02/2025_UAE AAR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144,000.00 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INV.KRCS02/03/2025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Full Day Conf_17-22/03/25_Korean M&amp;E Training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276,000.00 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INV.461/RASTOPARK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Full Day Conf_30/05/2025_UNICEF Stakeholder meetin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862,300.00 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An example is on the procurement done for conference package at the branch that was competitively awarded to Acacia lounge and grill at a price of Ksh.2,000 per person however this was later on brokered to the Korean project M&amp;E training where Busia branch bid for the same and was awarded the tender to offer the conferencing service to the project at a cost of Ksh.2,300 a difference of Ksh.300 from what was procured at the branch with a total cost of Ksh.345,000 this is expressively prohibited as highlighted by the conflict of interest clause highlighted above.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b)Lack of segregation of duties in procurement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our review of procurements done at the branches we observed that there was lack of segregation of duties in procurement The Finance Assistant is responsible for both initiating procurement requests and processing related payments. This concentration of roles breaches internal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control principles, which require segregation of duties to prevent conflicts of interest.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lack of role separation increases the risk of errors, unauthorized transactions, or fraud going undetected. Best practices in financial management and procurement require that initiation, approval, and payment functions be handled by different individuals to maintain accountability and reduce risk.</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c)Off-System approval of procurement documents – Kisumu Branch</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the audit of procurement activities at the Kisumu Branch, we observed that some procurement documents were approved manually, outside the official procurement system. This off-system approval process bypasses the established workflow and weakens system-based controls, such as approval hierarchies and audit trails.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Such practices reduce accountability, increase the risk of unauthorized or improper approvals, and hinder effective monitoring of procurement activities. According to procurement best practices and internal control guidelines, all approvals should be processed through the designated system to ensure consistency, transparency, and traceability. Below are some of the procurements that were eventually approved off system </w:t>
            </w:r>
          </w:p>
          <w:tbl>
            <w:tblPr>
              <w:tblW w:w="954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2249"/>
              <w:gridCol w:w="1598"/>
              <w:gridCol w:w="1633"/>
              <w:gridCol w:w="1726"/>
              <w:gridCol w:w="1274"/>
              <w:gridCol w:w="1060"/>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Vendor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Posting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Status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WKRLPO-25-0060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CRWKR058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156,000.00 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KISUMU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WKRLPO-25-0061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CRWKR116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37,500.00 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21/03/2025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KISUMU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WKRLPO-25-0065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CRWKR087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178,200.00 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24/02/2025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KISUMU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WKRLPO-25-0066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CRWKR087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36,000.00 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26/02/2025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KISUMU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WKRLPO-25-0067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CRWKR087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36,000.00 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25/02/2025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KISUMU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WKRLPO-25-0068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CRWKR087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82,500.00 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23/04/2025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KISUMU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526,200.00 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d)Weaknesses in procurement compliance related to quotation submissions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Clause 5.9 of the procurement manual guides that Where the list of prequalified/registered suppliers has less than three (3) firms the procurement department shall use knowledge of the market to identify other firms so that at least three (3) firms are invited giving preference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 manufacturers or sole distributors. In the event that RFQs that have been sent to pre-qualified suppliers on more than one occasion fail to attract a minimum of three quotations, the procurement shall proceed with the quotations received in line with the applicable approval thresholds. However, during our review of procurements conducted in the West Kenya region specifically in the Busia and Siaya branches we noted instances where bids were awarded despite only receiving quotations from two suppliers. This is in violation of the procurement manual, which stipulates that a re-tendering process should be initiated when fewer than three quotations are received from bidders. Below is a summary of such procurements. Additionally, we observed that the submission deadlines were not specified in the Request for Quotation (RFQ) emails. Furthermore, these RFQs were often sent to a limited pool of suppliers typically only three which may limit competition and reduce the likelihood of obtaining the best value for money. </w:t>
            </w:r>
          </w:p>
          <w:tbl>
            <w:tblPr>
              <w:tblW w:w="1140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2162"/>
              <w:gridCol w:w="2142"/>
              <w:gridCol w:w="1537"/>
              <w:gridCol w:w="1111"/>
              <w:gridCol w:w="1571"/>
              <w:gridCol w:w="2877"/>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LPO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Vendor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County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Audit Comment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WKRLPO-25-0056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WKRPRF-25-0068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CRWKR012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Busia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139,600.00 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Response from 2 Bidders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WKRLPO-25-0081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WKRPRF-25-0067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CRWKR013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Busia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186,000.00 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Response from 2 Bidders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325,600.00 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Understanding of Related Party and Conflict of Interest Policies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Performance pressure and revenue generation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staffing or resource constraints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Bypassing of digital procurement systems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 compliance to the procurement manual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Loss of donor confidence and funding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risk of supplier collusion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Reduced competition and value for money</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enforce segregation of duties at the branch level</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broaden the supplier pool and strengthen market engagement</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prohibit Internal brokering and Resale of Procured Services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694464503"/>
            <w:r>
              <w:rPr/>
              <w:t xml:space="preserve"> F3 Inadequate cash and bank management</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Cash and Bank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4,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Bank reconciliations are a fundamental control activity essential to maintaining the accuracy and integrity of a company’s financial reporting. They serve to verify that the cash balances recorded in the company’s general ledger are complete, accurate, and consistent with those reported by its banking institutions. Timely and accurate preparation of bank reconciliations is critical for identifying and resolving discrepancies, detecting potential errors or unauthorized transactions, and safeguarding cash assets. Effective reconciliation practices support sound cash flow management and ensure that financial statements present a true and fair view of the company’s financial position in accordance with accounting standards. We reviewed bank reconciliations for the 5 branches (Busia, Siaya, Kakamega, Vihiga and Kisumu) and observed that most of the reconciliations for the branches had been prepared on time and were balancing however we noted the following gaps under Kisumu reconciliations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1.Inaccurate bank reconciliations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An accurate bank reconciliation ensures that errors and fraud are detected in a timely manner. However, from the review of January 2025 to May 2025 bank reconciliations we noted that statement ending balances and cash book balances for bank BNKWKR005 were not reconciled leading to misstated cash and bank balances as summarized below; </w:t>
            </w:r>
          </w:p>
          <w:tbl>
            <w:tblPr>
              <w:tblW w:w="760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618"/>
              <w:gridCol w:w="2381"/>
              <w:gridCol w:w="1768"/>
              <w:gridCol w:w="1833"/>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BNKWKR005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Period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Adjusted statement bal.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Cash Book Bal.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Variance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24-Feb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2,131,575.45 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2,137,454.45 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5,879.00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24-Mar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507,777.45 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2,141,154.45 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- 1,633,377.00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2.Late preparation of bank reconciliations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Clause 8.5 of the finance manual outlines that, all KRCS bank accounts must be reconciled with bank balances in the cash book monthly within 15 days of the subsequent month.</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our review of the bank reconciliations from January to May 2025 we observed that most of the bank reconciliations for the region were prepared on time however the bank reconciliations for Kisumu branch were prepared late in the months of February to April 2025 as summarized below </w:t>
            </w:r>
          </w:p>
          <w:tbl>
            <w:tblPr>
              <w:tblW w:w="962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783"/>
              <w:gridCol w:w="2250"/>
              <w:gridCol w:w="1950"/>
              <w:gridCol w:w="1614"/>
              <w:gridCol w:w="2023"/>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BNKWKR005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Period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Preparation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Approval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Policy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Variance(Days)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24-Feb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4/6/2025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81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24-Mar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4/15/2025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51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24-Apr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9/6/2025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5/15/2025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management oversight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adequate follow up on timely preparation of bank reconciliations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clear responsibilities or ownership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Misstated bank balances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ensure adherence to the finance manual on bank reconciliations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1110510497"/>
            <w:r>
              <w:rPr/>
              <w:t xml:space="preserve"> F4 Gaps in asset management</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Fixed Assets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6,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Inadequate Insurance coverage of branch assets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Best practices recommend that organizations maintain adequate insurance coverage to protect against unexpected events or accidents that could result in significant financial losses. However, all the branches within the West Kenya region had not secured insurance for their assets at the time of our review. This situation exposes the organization to financial risks arising from asset damage, loss, or theft, indicating a critical gap in risk management and asset protection across the region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2.Assets missing in the master asset register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finance policy provides guidelines on the treatment of assets bought through program funds which entails expensing the assets in the year of purchase in the project accounts. Upon gift certificate and hand over, the asset is recognized in the KRCS financial statement at fair value at the point of hand over.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from our review of assets at the branches we noted that several assets listed that were physically present at the branch had not been captured in the asset register as summarized below </w:t>
            </w:r>
          </w:p>
          <w:tbl>
            <w:tblPr>
              <w:tblW w:w="670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3060"/>
              <w:gridCol w:w="2062"/>
              <w:gridCol w:w="1578"/>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Missing in Register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Tag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County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HP Monitor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PRO4321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Siaya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HP Monitor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PRO4340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Siaya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HP Monitor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KRCS1336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Siaya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HP Monitor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KRCS5584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Siaya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Mid Chair black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KRCS12917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Siaya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Dispensor Von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KRCS12809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Siaya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3.Untagged assets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Best practices in asset management dictate that each fixed asset should be assigned a unique identifier, such as an asset tag or barcode, immediately upon acquisition. This process supports effective monitoring, accountability, and ensures that physical assets correspond accurately with records in the asset register.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Sound asset management frameworks and governance standards recommend clear asset identification as a fundamental internal control.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our physical inspection of assets at various branches in the region, we found that some items lacked visible identification tags or labels. This absence hinders the ability to reliably verify assets against the register and increases the risk of errors such as misidentification, duplicate records, or potential misuse </w:t>
            </w:r>
          </w:p>
          <w:tbl>
            <w:tblPr>
              <w:tblW w:w="670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3530"/>
              <w:gridCol w:w="1535"/>
              <w:gridCol w:w="1635"/>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Untagged Assets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Tag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County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Mid Chair black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Siaya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 Office Desks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Busia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ARMCO Dispenser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Busia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Lowblack Office chair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Busia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Chair Office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Busia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4.Presence of obsolete assets in the asset register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the review, we noted that several assets which are no longer in use or are impaired continue to be listed in the fixed asset register at book value, this was observed in Busia, Siaya and Kisumu branch. These obsolete assets remain recognized despite no longer contributing to the organization’s operations or generating future economic benefits.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According to IAS 16 – Property, Plant and Equipment, Paragraph 67 requires that “the carrying amount of an asset be derecognised either on disposal or when no future economic benefits are expected from its use or disposal.”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Continued recognition of such obsolete assets contravenes these requirements and results in misstatement of asset balances and related expenses </w:t>
            </w:r>
          </w:p>
          <w:tbl>
            <w:tblPr>
              <w:tblW w:w="670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3763"/>
              <w:gridCol w:w="1664"/>
              <w:gridCol w:w="1273"/>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Obsolete Assets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Tag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County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Yamaha Motor Cycle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KRCS10239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Kyocera photocopiers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KRCS10241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Kyocera photocopiers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KRCS10252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Kyocera photocopiers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KRCS10265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Kyocera photocopiers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KRCS4263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Branded HP CPU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KRCS4264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 Office reception area chairs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Multiple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Water tank - 5,000 Litres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Stretcher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5.Inadequate use of Navision System for asset register maintenance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observed that the asset register maintenance, particularly the tracking and recording of asset values reflected in the balance sheet, is not fully managed through the Navision system. Manual excel records continue to be maintained for capturing asset values, with limited updates or reconciliation within Navision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6.Incorrect Classification and Recording of Inventory Items as Assets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the audit, it was noted that several inventory items, specifically at the Siaya branch which operates a conference facility and maintains multiple kitchen supplies were incorrectly classified and recorded as fixed assets in the accounting records. This treatment is inconsistent with applicable accounting standards (such as IAS 2 and IAS 16), which mandate that inventory items be classified as current assets, while fixed assets should represent long-term resources expected to provide economic benefits over multiple accounting periods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accounting standards.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Infrequent updates of the asset register following physical verification exercises.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 in providing the asset tags from the headquarters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Insufficient follow up on insurance of assets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adequate follow up on asset tagging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the event of fire, theft or loss of  assets the organization would be liable for the replacement cost of the assets destroyed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audit trail of assets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Discrepancies, errors, inaccurate and outdated asset register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Difficulty in monitoring, control and tracking of assets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should take up insurance to reflect the current replacement cost of the assets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Regular asset verification</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Regular update of the asset register</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1864056549"/>
            <w:r>
              <w:rPr/>
              <w:t xml:space="preserve"> F5 Long Outstanding Payables</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Payables and Receivables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Our review of the branch’s accounts payable records in West Kenya region revealed a significant number of long-overdue payables of Ksh. 2,869,389. This does not align with best practice expectations, which recommend that outstanding payables be regularly assessed against the organization’s established accounts payable policies, vendor agreements, and contractual payment terms. Effective financial governance requires timely settlement of liabilities to maintain operational efficiency, ensure compliance, and uphold vendor relationships.  Below is a summary </w:t>
            </w:r>
          </w:p>
          <w:tbl>
            <w:tblPr>
              <w:tblW w:w="886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639"/>
              <w:gridCol w:w="1636"/>
              <w:gridCol w:w="1733"/>
              <w:gridCol w:w="1926"/>
              <w:gridCol w:w="1926"/>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Vendors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0-90Days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Over180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CR006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(40,246.10)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(40,246.10)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CR015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(34,500.00)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(34,500.00)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CR046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CR048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CRWKR087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437,400.00 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(437,400.00)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(242,020.00)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(242,020.00)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449,400.00 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(449,400.00)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(581,766.10)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(581,766.10)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BUSIA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Vendor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0-90Days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CR048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(7,200.00)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(7,200.00)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CRWKR013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(46,950.00)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(409,650.00)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(216,600.00)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CRWKR098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(35,000.00)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118,925.00 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(206,425.00)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(122,500.00)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CRWKR104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(118,500.00)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(102,000.00)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205,000.00 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88,475.00 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(741,775.00)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(448,300.00)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SIAYA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Vendor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0-90Days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CR048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(21,200.00)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(21,200.00)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CR049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(21,778.00)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(21,778.00)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(9,600.00)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(9,600.00)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CR053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(147,552.00)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(147,552.00)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CR061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(206,130.00)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(206,130.00)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KAKAMEGA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Vendor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0-90Days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CR0045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(43,229.15)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(43,229.15)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CR018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(73,800.00)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(73,800.00)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CR048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(36,750.00)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(36,750.00)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CR080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(19,200.00)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(19,200.00)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CR082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20,600.00 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(194,190.00)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(173,590.00)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CR083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(22,935.00)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(22,935.00)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CR084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(207,050.00)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(207,050.00)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CR085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CR086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CRWKR012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(58,950.00)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19,620.00 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(19,620.00)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(58,950.00)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CRWKR026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(12,045.00)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(12,045.00)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CRWKR094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(467,400.00)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(481,900.00)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(73,450.00)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40,220.00 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(1,109,219.15)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(1,142,449.15)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VIHIGA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Vendor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0-90Days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90-180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CR065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CRWKR012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(59,950.00)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(21,380.00)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(81,330.00)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CRWKR090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(31,650.00)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(31,650.00)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(59,950.00)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(83,030.00)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(142,980.00)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monitoring of aging payables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Cashflow constraints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Strained supplier relationship</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ensure there is efficient cash flow management to meet obligations as and when they fall due</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promptly review and reconcile all overdue payables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0" w:name="_Toc79767686"/>
            <w:r>
              <w:rPr/>
              <w:t xml:space="preserve"> F6 Long Overdue receivables</w:t>
            </w:r>
            <w:bookmarkEnd w:id="10"/>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Payables and Receivables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our review of the accounts receivable ledger for branches under West Kenya region, we noted several customer balances that have been overdue for an extended period, in some cases well beyond the agreed payment terms. These receivables have not been actively followed up or resolved, which goes against standard financial management practices and the company’s own credit policy. Good receivables management involves timely follow-ups, escalation of overdue accounts, and regular aging analysis to ensure collections are on track. Below is a summary of the long outstanding receivables amounting to Ksh.3,282,400 for the five branches reviewed </w:t>
            </w:r>
          </w:p>
          <w:tbl>
            <w:tblPr>
              <w:tblW w:w="1270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742"/>
              <w:gridCol w:w="3630"/>
              <w:gridCol w:w="1766"/>
              <w:gridCol w:w="1834"/>
              <w:gridCol w:w="1864"/>
              <w:gridCol w:w="1864"/>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Customer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Customer Name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0-90Days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CUSWK0011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Other receivables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599,050.00 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599,050.00 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CUSWK0055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Ciala Resort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84,500.00 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84,500.00 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CUSWK0081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Emergency Plan of Action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261,250.00 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261,250.00 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CUSWK0084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1,324,450.00 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1,024,450.00 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CUSWK0103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Youth Excel Program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(83,000.00)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203,000.00 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120,000.00 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(383,000.00)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2,472,250.00 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2,089,250.00 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BUSIA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Customer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0-90days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CUSWK0011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Other receivables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SIAYA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Customer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0-90Days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CUSWK0011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Other receivables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CUSWK0042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West Kenya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233,400.00 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233,400.00 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CUSWK0057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Kisumu 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CUSWK0084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(153,600.00)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212,600.00 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59,000.00 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(153,600.00)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517,000.00 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363,400.00 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KAKAMEGA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Customer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(blank)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CUSWK0107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HSS059 KRCS-IFRC CP3 project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(68,000.00)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752,000.00 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684,000.00 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(68,000.00)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752,000.00 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684,000.00 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VIHIGA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Customer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0-90Days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Over180Days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CUSWK0042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West Kenya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97,750.00 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97,750.00 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97,750.00 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97,750.00 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 expenditure on projects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follow up on debtor balances to ensure full recovery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Limited follow-up on overdue accounts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Financial loss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Inadequate Cashflow</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ensure;</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Write off of irrecoverable receivable balances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Adequate follow up on recovering intercompany balances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1" w:name="_Toc266933153"/>
            <w:r>
              <w:rPr/>
              <w:t xml:space="preserve"> F7 Weak controls around Income and Expenditure </w:t>
            </w:r>
            <w:bookmarkEnd w:id="11"/>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controls around Income and Expenditure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Low</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the audit of expenses for the branches reviewed under West Kenya region for the period under review, we observed several good practices in the organization's expenditure recording and control processes. The expense capture and recording systems demonstrate a clear commitment to accountability and adherence to finance policy.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Notably: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Expense Capture</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Expenses are promptly and accurately recorded in the accounting system, minimizing the risk of omissions or misstatements.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Supporting Documentation: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Transactions are generally well-supported by appropriate source documents such as invoices, payment vouchers, and approval forms, which are systematically filed and easily retrievable.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Authorization Controls: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There is a consistent application of approval hierarchies, with expenditures reviewed and authorized by designated personnel before payment.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Segregation of Duties: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The process shows effective segregation between individuals responsible for requesting, approving, and processing payments, reducing the risk of errors or fraud.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Policy Compliance:</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Most expense transactions reviewed complied with the organization's internal policies and thresholds for procurement, travel, and other disbursements.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we observed the following gaps;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1.Gaps in the accrual process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accordance with IFRS IAS 1 – Presentation of Financial Statements, expenses must be accurately classified and recorded in the correct accounting period. Specifically, they should be recognized in the period in which they are incurred to ensure that the financial statements reflect a true and fair view of the company’s financial position and performance. During our review of branch-level expenses at the Kisumu office, we noted instances where expenses relating to prior financial periods were recorded in the current period. This indicates a breakdown in the application of proper accrual accounting principles and highlights weaknesses in the branch’s year-end expense cutoff procedures.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Below is a summary of the unaccrued expenses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618"/>
              <w:gridCol w:w="1799"/>
              <w:gridCol w:w="5395"/>
              <w:gridCol w:w="1484"/>
              <w:gridCol w:w="2161"/>
              <w:gridCol w:w="1727"/>
            </w:tblGrid>
            <w:tr>
              <w:trPr/>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Posting Date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Document No.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Correct cut off G/L </w:t>
                  </w:r>
                </w:p>
              </w:tc>
              <w:tc>
                <w:tcPr>
                  <w:tcW w:w="0" w:type="auto"/>
                  <w:shd w:val="clear" w:color="FFFFFF" w:fill="C0C0C0"/>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Comments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25/251/KSM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Pyt Of Office Internet for November 2024- Simabane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10,344.00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Expense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25/251/KSM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Pyt Of Office Internet for December 2024- Simabane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10,344.00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Expense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25/252/KSM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Pyt Of Facilitation fees for OFA &amp; BFA Training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Expense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25/252/KSM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Pyt Of Facilitation fees for OSH Training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Expense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25/253/KSM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Pyt Of Facilitation fees for BFA Training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Expense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25/253/KSM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Pyt Of Facilitation fees for BFA Training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23,000.00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Expense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25/230/KSM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Pyt Of Partial Payment Of Branded Items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2022 Expense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4/17/2025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25/239/KSM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Pyt Of Brandable Merchandise (Final Payments)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2022 Expense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PV24/0150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Branch Admin Salary Dec' 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-14,895.00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Expense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5/20/2025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25/612/KSM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Pyt Of Stationery_Siroma Solutions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18,945.00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Expense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187,738.00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2.Partial compliance with surplus retention directive for development purposes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National Executive Committee issued a directive requiring all branches to retain 25% of their unrestricted fund surplus for development purposes. However, audit review for the period January 2025 to May 2025 revealed that only two branches Busia, and Siaya had generated adequate surpluses to meet this requirement. The remaining three branches did not generate sufficient surplus to enable compliance, as detailed in the table below </w:t>
            </w:r>
          </w:p>
          <w:tbl>
            <w:tblPr>
              <w:tblW w:w="1108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984"/>
              <w:gridCol w:w="1858"/>
              <w:gridCol w:w="1858"/>
              <w:gridCol w:w="1858"/>
              <w:gridCol w:w="1761"/>
              <w:gridCol w:w="1761"/>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COUNTY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BUSIA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SIAYA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KAKAMEGA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VIHIGA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Income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2,647,272.00 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2,278,010.00 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1,739,450.00 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354,319.00 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48,900.00 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Expense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2,039,215.00 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1,567,229.00 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1,088,961.00 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572,219.00 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212,776.00 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Surplus/Deficit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608,057.00 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710,781.00 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650,489.00 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(217,900.00)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(163,876.00)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%of Income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Weaknesses in period-end cutoff controls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Delayed Invoices or late submission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Misstated financial statements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Limited branch capacity to invest in future growth</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strengthen year-end cutoff procedures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monitor branch-level financial performance regularly</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West Kenya Spot Check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32</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0add2b6e"/>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3"/>
              <c:pt idx="0">
                <c:v>Medium</c:v>
              </c:pt>
              <c:pt idx="1">
                <c:v>High</c:v>
              </c:pt>
              <c:pt idx="2">
                <c:v>Low</c:v>
              </c:pt>
            </c:strLit>
          </c:cat>
          <c:val>
            <c:numLit>
              <c:formatCode>General</c:formatCode>
              <c:ptCount val="3"/>
              <c:pt idx="0">
                <c:v>4</c:v>
              </c:pt>
              <c:pt idx="1">
                <c:v>2</c:v>
              </c:pt>
              <c:pt idx="2">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3"/>
              <c:pt idx="0">
                <c:v>RFO</c:v>
              </c:pt>
              <c:pt idx="1">
                <c:v>RSCMO</c:v>
              </c:pt>
              <c:pt idx="2">
                <c:v>HOR</c:v>
              </c:pt>
            </c:strLit>
          </c:cat>
          <c:val>
            <c:numLit>
              <c:formatCode>General</c:formatCode>
              <c:ptCount val="3"/>
              <c:pt idx="0">
                <c:v>5</c:v>
              </c:pt>
              <c:pt idx="1">
                <c:v>1</c:v>
              </c:pt>
              <c:pt idx="2">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32</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2026-04-02T08:50:00Z</dcterms:created>
  <dcterms:modified xsi:type="dcterms:W3CDTF">2026-04-02T08:50:00Z</dcterms:modified>
</cp:coreProperties>
</file>