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297515616"/>
            <w:r>
              <w:rPr>
                <w:color w:val="FFFFFF" w:themeColor="background1"/>
                <w:sz w:val="90"/>
                <w:szCs w:val="90"/>
              </w:rPr>
              <w:t xml:space="preserve">KRCS West Kenya region spot check October 2025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13,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21,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598251652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681411606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926575673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970958466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F4 High expenditure ratio and weak accountability in humanity power walk activities</w:t>
      </w:r>
      <w:r>
        <w:rPr>
          <w:rFonts w:asciiTheme="minorHAnsi" w:hAnsiTheme="minorHAnsi"/>
          <w:bCs/>
          <w:color w:val="070F13" w:themeColor="text1"/>
          <w:sz w:val="24"/>
        </w:rPr>
        <w:tab/>
      </w:r>
      <w:fldSimple w:instr=" PAGEREF _Toc712674438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F3 Gaps in procurement</w:t>
      </w:r>
      <w:r>
        <w:rPr>
          <w:rFonts w:asciiTheme="minorHAnsi" w:hAnsiTheme="minorHAnsi"/>
          <w:bCs/>
          <w:color w:val="070F13" w:themeColor="text1"/>
          <w:sz w:val="24"/>
        </w:rPr>
        <w:tab/>
      </w:r>
      <w:fldSimple w:instr=" PAGEREF _Toc828589415 ">
        <w:r>
          <w:rPr>
            <w:rFonts w:asciiTheme="minorHAnsi" w:hAnsiTheme="minorHAnsi"/>
            <w:bCs/>
            <w:color w:val="070F13" w:themeColor="text1"/>
            <w:sz w:val="24"/>
          </w:rPr>
          <w:t xml:space="preserve">9</w:t>
        </w:r>
      </w:fldSimple>
    </w:p>
    <w:p>
      <w:pPr>
        <w:pStyle w:val="TOC1"/>
        <w:spacing w:before="120"/>
        <w:rPr/>
      </w:pPr>
      <w:r>
        <w:rPr>
          <w:rFonts w:asciiTheme="minorHAnsi" w:hAnsiTheme="minorHAnsi"/>
          <w:bCs/>
          <w:color w:val="070F13" w:themeColor="text1"/>
          <w:sz w:val="24"/>
        </w:rPr>
        <w:t xml:space="preserve">F6 Long Overdue receivables</w:t>
      </w:r>
      <w:r>
        <w:rPr>
          <w:rFonts w:asciiTheme="minorHAnsi" w:hAnsiTheme="minorHAnsi"/>
          <w:bCs/>
          <w:color w:val="070F13" w:themeColor="text1"/>
          <w:sz w:val="24"/>
        </w:rPr>
        <w:tab/>
      </w:r>
      <w:fldSimple w:instr=" PAGEREF _Toc1145134905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006 Inadequate Asset Documentation and Tagging — Land Ownership and Asset Register Management Weaknesses</w:t>
      </w:r>
      <w:r>
        <w:rPr>
          <w:rFonts w:asciiTheme="minorHAnsi" w:hAnsiTheme="minorHAnsi"/>
          <w:bCs/>
          <w:color w:val="070F13" w:themeColor="text1"/>
          <w:sz w:val="24"/>
        </w:rPr>
        <w:tab/>
      </w:r>
      <w:fldSimple w:instr=" PAGEREF _Toc660065470 ">
        <w:r>
          <w:rPr>
            <w:rFonts w:asciiTheme="minorHAnsi" w:hAnsiTheme="minorHAnsi"/>
            <w:bCs/>
            <w:color w:val="070F13" w:themeColor="text1"/>
            <w:sz w:val="24"/>
          </w:rPr>
          <w:t xml:space="preserve">17</w:t>
        </w:r>
      </w:fldSimple>
    </w:p>
    <w:p>
      <w:pPr>
        <w:pStyle w:val="TOC1"/>
        <w:spacing w:before="120"/>
        <w:rPr/>
      </w:pPr>
      <w:r>
        <w:rPr>
          <w:rFonts w:asciiTheme="minorHAnsi" w:hAnsiTheme="minorHAnsi"/>
          <w:bCs/>
          <w:color w:val="070F13" w:themeColor="text1"/>
          <w:sz w:val="24"/>
        </w:rPr>
        <w:t xml:space="preserve">F1 Inadequate controls on income recognition</w:t>
      </w:r>
      <w:r>
        <w:rPr>
          <w:rFonts w:asciiTheme="minorHAnsi" w:hAnsiTheme="minorHAnsi"/>
          <w:bCs/>
          <w:color w:val="070F13" w:themeColor="text1"/>
          <w:sz w:val="24"/>
        </w:rPr>
        <w:tab/>
      </w:r>
      <w:fldSimple w:instr=" PAGEREF _Toc1618269191 ">
        <w:r>
          <w:rPr>
            <w:rFonts w:asciiTheme="minorHAnsi" w:hAnsiTheme="minorHAnsi"/>
            <w:bCs/>
            <w:color w:val="070F13" w:themeColor="text1"/>
            <w:sz w:val="24"/>
          </w:rPr>
          <w:t xml:space="preserve">19</w:t>
        </w:r>
      </w:fldSimple>
    </w:p>
    <w:p>
      <w:pPr>
        <w:pStyle w:val="TOC1"/>
        <w:spacing w:before="120"/>
        <w:rPr/>
      </w:pPr>
      <w:r>
        <w:rPr>
          <w:rFonts w:asciiTheme="minorHAnsi" w:hAnsiTheme="minorHAnsi"/>
          <w:bCs/>
          <w:color w:val="070F13" w:themeColor="text1"/>
          <w:sz w:val="24"/>
        </w:rPr>
        <w:t xml:space="preserve">F2 Gaps in expenses management and non compliance with 25% surplus retention</w:t>
      </w:r>
      <w:r>
        <w:rPr>
          <w:rFonts w:asciiTheme="minorHAnsi" w:hAnsiTheme="minorHAnsi"/>
          <w:bCs/>
          <w:color w:val="070F13" w:themeColor="text1"/>
          <w:sz w:val="24"/>
        </w:rPr>
        <w:tab/>
      </w:r>
      <w:fldSimple w:instr=" PAGEREF _Toc1715420770 ">
        <w:r>
          <w:rPr>
            <w:rFonts w:asciiTheme="minorHAnsi" w:hAnsiTheme="minorHAnsi"/>
            <w:bCs/>
            <w:color w:val="070F13" w:themeColor="text1"/>
            <w:sz w:val="24"/>
          </w:rPr>
          <w:t xml:space="preserve">23</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598251652"/>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Specific objectives are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controls surrounding income and expenses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controls regarding IGAs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assets Management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receivables and Payable balances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procurement process </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mandate of Internal Audit and Risk assurance is to assess that risks are managed comprehensively and provide assurance regarding the effectiveness of internal controls. This ensures the Society operates efficiently and effectively as a whole. The West Kenya Region spot check is an important component of the 2025 approved annual internal audit work plan.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scope of work is the following branches in West Kenya region Kisumu,  Busia , Kakamega ,Vihiga, Nyamira, Kisii, Homabay and Migori for the period June 2025 to September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681411606"/>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sz w:val="24"/>
          <w:szCs w:val="24"/>
        </w:rPr>
        <w:t xml:space="preserve">Following our review, we conclude that the controls around West Kenya region branches processes </w:t>
      </w:r>
      <w:r>
        <w:rPr>
          <w:rFonts w:ascii="Calibri" w:hAnsi="Calibri"/>
          <w:b w:val="on"/>
          <w:color w:val="070F13"/>
          <w:sz w:val="24"/>
          <w:szCs w:val="24"/>
        </w:rPr>
        <w:t xml:space="preserve">NEEDS IMPROVEMENT</w:t>
      </w:r>
      <w:r>
        <w:rPr>
          <w:rFonts w:ascii="Calibri" w:hAnsi="Calibri"/>
          <w:b w:val="off"/>
          <w:color w:val="070F13"/>
          <w:sz w:val="24"/>
          <w:szCs w:val="24"/>
        </w:rPr>
        <w:t xml:space="preserve">. We observed control gaps as detailed in this report that require management action</w:t>
      </w:r>
      <w:r>
        <w:rPr>
          <w:rFonts w:ascii="Calibri" w:hAnsi="Calibri"/>
          <w:color w:val="070F13" w:themeColor="text1"/>
          <w:sz w:val="24"/>
          <w:szCs w:val="24"/>
        </w:rPr>
        <w:t xml:space="preserve">.</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926575673"/>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around income and expenditure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controls around procurement processs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of  controls sorrounding receivables and payables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Accountabilty over power of humanity walk money</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5</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970958466"/>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 expenditure ratio and weak accountability in humanity power walk activities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procurement</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RSCMO and 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 Overdue receivables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Inadequate Asset Documentation and Tagging — Land Ownership and Asset Register Management Weaknesses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Inadequate controls on income recognition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Gaps in expenses management and non compliance with 25% surplus retention </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712674438"/>
            <w:r>
              <w:rPr/>
              <w:t xml:space="preserve"> F4 High expenditure ratio and weak accountability in humanity power walk activities</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Accountabilty over power of humanity walk money</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30,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controls surrounding the Humanity Power Walk (PHW) fundraising activities across Busia, Kakamega, and Vihiga branches revealed that while the branches had instituted some commendable control practices, there were also notable accountability gaps and a high level of expenditure compared to income collected, which reduced fundraising efficiency.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noted that branches had implemented the following good practices to strengthen PHW operations: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Prior approval obtained from the Ministry of Education and participating schools before launching the activity.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Serialized proforma cards produced and issued for proper tracking and accountability.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Acknowledgment receipts issued to schools upon submission of collected funds.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the following weaknesses were observed during the review: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High expenditure incurred relative to total income collected, reducing fundraising efficiency.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Returned proforma cards without money, indicating weak supervision and follow-up by school patrons.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Alteration of proforma cards, compromising authenticity and control.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Poor accountability by school management, with delays and incomplete submission of returns.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Inadequate tracking of serialized proforma cards—some serial numbers were unreturned and unaccounted for.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Low distribution of proforma cards, e.g., Busia Branch distributed 1,100 out of the 2,000 printed cards.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1396"/>
              <w:gridCol w:w="2644"/>
              <w:gridCol w:w="1843"/>
              <w:gridCol w:w="1114"/>
              <w:gridCol w:w="3040"/>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amount collected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Total expenses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Surplus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of expenses over income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Busia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90,000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Kakamega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249,240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212,900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36,340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Vihiga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221,415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148,903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72,512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67%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guidance and supervision by the regional office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leakages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regional office should standardize expense management guidance for Humanity Power Walk activities to ensure consistency and strengthen controls across branches.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828589415"/>
            <w:r>
              <w:rPr/>
              <w:t xml:space="preserve"> F3 Gaps in procurement</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controls around procurement processs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RSCMO and 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30,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reviewed procurement transactions across the branches and noted positive progress in control implementation. Segregation of duties has been strengthened, with LPO processing centralized through the RSCMO at the regional office, and all procurement activities are now executed and tracked through the Navision system in line with policy.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despite these improvements, we identified several remaining gaps that require management attention to fully ensure compliance and strengthen procurement governance.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Bid splitting to avoid competitive quotation requirement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Section 4.2.4 of the Procurement Manual prohibits dividing similar procurements into separate smaller activities, as this constitutes order splitting. However, review of procurement transactions at the Busia Branch revealed that catering services for workshops held on 4th and 5th June 2025 were processed under two separate payment vouchers (PV No. 25/95 and 25/96), each amounting to Kshs. 24,000. The separation of these similar procurements indicates deliberate bid splitting to avoid obtaining the three quotations required by the procurement policy.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Remarks </w:t>
                  </w:r>
                </w:p>
              </w:tc>
            </w:tr>
            <w:tr>
              <w:trPr/>
              <w:tc>
                <w:tcPr>
                  <w:tcW w:w="1125" w:type="dxa"/>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Busia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25/95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Full day catering for a workshop on 5 th June 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24,000 </w:t>
                  </w:r>
                </w:p>
              </w:tc>
              <w:tc>
                <w:tcPr>
                  <w:tcW w:w="1125" w:type="dxa"/>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bid were split to avoid getting 3  quotations as per procurement manual requirement </w:t>
                  </w:r>
                </w:p>
              </w:tc>
            </w:tr>
            <w:tr>
              <w:trPr/>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25/96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Full day catering for a workshop on 4 th June 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24,000 </w:t>
                  </w:r>
                </w:p>
              </w:tc>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quotation submission Timeline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5.9 of the Procurement Manual requires the procurement department to give suppliers a minimum of three (3) calendar days to prepare and submit quotations. However, review of procurement at the Kakamega Branch revealed that for RFQ No. 00268 (branded items for a power walk event), the RFQ was sent on 23rd July 2024 at 3:34 p.m. with a submission deadline of 24th July 2024 at 4:00 p.m., allowing less than one day for response.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130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362"/>
              <w:gridCol w:w="2597"/>
              <w:gridCol w:w="2319"/>
              <w:gridCol w:w="2318"/>
              <w:gridCol w:w="2318"/>
              <w:gridCol w:w="2166"/>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RFQ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RFQ Date &amp; Timeline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1: Jibu Brand House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2: House of Wealth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3: Nairobi Sports House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Remarks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RFQ00268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RFQ sent on Wednesday, 23rd July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2024 at 3:34 p.m.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Quote submitted on 23rd July 2024 at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4:49 p.m.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Quote submitted on 24th July 2024 at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2:39 p.m.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Quote submitted on 24th July 2024 at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3:46 p.m.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tender was awarded to Jibu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brand house. </w:t>
                  </w:r>
                </w:p>
              </w:tc>
            </w:tr>
          </w:tbl>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tr>
              <w:trPr>
                <w:gridAfter w:val="1"/>
              </w:trPr>
              <w:tc>
                <w:tcPr>
                  <w:tcW w:w="0" w:type="auto"/>
                  <w:shd w:val="clear" w:color="FFFFFF" w:fill="E6E6E6"/>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c>
                <w:tcPr>
                  <w:tcW w:w="448"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Delay in payment to vendor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audit review noted a significant delay in settling payment to a service provider, contrary to the organization’s Financial Management Policy, which requires timely settlement of vendor obligations to maintain good supplier relations and ensure operational efficiency.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autofit"/>
            </w:tblPr>
            <w:tblGrid>
              <w:gridCol w:w="3400"/>
              <w:gridCol w:w="2442"/>
              <w:gridCol w:w="1637"/>
              <w:gridCol w:w="1094"/>
              <w:gridCol w:w="1774"/>
              <w:gridCol w:w="182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Vendor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Activity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Activity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(Kshs)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Appetinah Events and Catering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Governance Meeting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09/05/2023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25/633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22/09/2025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40,480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Procurement Procedures —Low value method of procurement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During the spot check review conducted at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Kenya Red Cross Homa Bay Branch (West Kenya Region)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it was noted that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Voucher PV25/963/HBY amounting to Ksh 40,000</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was processed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without adherence to the established procurement procedures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Specifically,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comparative bid analysis (CBA)</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was prepared, and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supplier quotations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were obtained to justify supplier selection or demonstrate value for money. Instead, the branch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single-sourced the purchase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directly from one supplier.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Kenya Red Cross Society Procurement Policy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stipulates that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branch-level single sourcing authority is capped at Ksh 30,000</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Any procurement exceeding this threshold must be subjected to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competitive bidding</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supported by at least three quotations and documented evaluation to ensure transparency and fairness in supplier selection.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observed deviation represents a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breach of the procurement policy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exposes the organization to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risks of favoritism, inflated pricing, and lack of value for money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while also undermining the transparency and accountability of the procurement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Workforce Lacks Required Expertise at Branch Level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Reputation risks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value for money procurement</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Build robust expertise and operational excellence within branch procurement functions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145134905"/>
            <w:r>
              <w:rPr/>
              <w:t xml:space="preserve"> F6 Long Overdue receivables</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sorrounding receivables and payables</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30,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Accounts receivable review for West Kenya region branches (Kisumu, Busia, Vihiga, and Kakamega) identified overdue balances totaling KES 4,704,450, many exceeding agreed credit terms with minimal follow-up. This reflects weak adherence to receivables management practices, risking cash flow and increased credit exposure.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Busia branch </w:t>
            </w:r>
          </w:p>
          <w:tbl>
            <w:tblPr>
              <w:tblW w:w="880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3289"/>
              <w:gridCol w:w="1632"/>
              <w:gridCol w:w="2078"/>
              <w:gridCol w:w="1801"/>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 DAYS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120 days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IFRC Nestle project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IFRC Solidarity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EVD project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West Kenya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KRCS-UNICEF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receivables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(blank)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51000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2051000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branch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5625"/>
              <w:gridCol w:w="1329"/>
              <w:gridCol w:w="562"/>
              <w:gridCol w:w="562"/>
              <w:gridCol w:w="1125"/>
              <w:gridCol w:w="1125"/>
            </w:tblGrid>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 days </w:t>
                  </w:r>
                </w:p>
              </w:tc>
              <w:tc>
                <w:tcPr>
                  <w:tcW w:w="1124" w:type="dxa"/>
                  <w:gridSpan w:val="2"/>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91-180 days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180 days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Ciala Resort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84500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84500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DPR582 Kenya, Floods and Cholera IFRC DREF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150000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Emergency Plan of Action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261250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261250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HSS632 UNICEF-Strengthening Nutrition Resilience 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35400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35400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HQ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508450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508450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West Kenya Region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Nelson Otieno &amp; Associates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86000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Nyando Commercial Agency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24000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8500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50500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Opiko &amp; Associates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ORD042 Empowering Youth for Climate Action (EYCA)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213900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213900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receivables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599050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599050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Tumaini Sickle Org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WTN034 Urban Wash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-52000 </w:t>
                  </w: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148000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(blank)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4" w:type="dxa"/>
                  <w:gridSpan w:val="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0" w:type="auto"/>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-171200 </w:t>
                  </w:r>
                </w:p>
              </w:tc>
              <w:tc>
                <w:tcPr>
                  <w:tcW w:w="1124" w:type="dxa"/>
                  <w:gridSpan w:val="2"/>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2087000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2466250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4382050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Vihiga branch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tblGrid>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Row Labels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0-90 days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90-180 days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over 180 days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(blank)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Brian Mboya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DPR562 IFRC MPOX 2024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Golf Hotel Limited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KRCS West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Kenya Region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97750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97750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Other receivables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(blank)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Grand Total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200000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110200 </w:t>
                  </w: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shd w:val="clear" w:color="FFFFFF" w:fill="D9E1F2"/>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300200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Inconsistent enforcement of receivables collection procedures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Elevated credit and liquidity risks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Implement timely write-offs for debts deemed uncollectible.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spacing w:val="0"/>
                <w:w w:val="100"/>
                <w:kern w:val="0"/>
                <w:position w:val="0"/>
                <w:sz w:val="24"/>
                <w:szCs w:val="24"/>
                <w:vertAlign w:val="baseline"/>
              </w:rPr>
              <w:t xml:space="preserve">Adequate follow up on recovering intercompany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660065470"/>
            <w:r>
              <w:rPr/>
              <w:t xml:space="preserve"> 006 Inadequate Asset Documentation and Tagging — Land Ownership and Asset Register Management Weaknesses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cross-cutting issue noted across all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Kenya Region (WKR) branches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relates to weaknesses in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documentation and tagging practices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particularly concerning land and fixed assets.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audit established that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branch currently holds a valid title deed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for the land parcels occupied. Instead, each branch maintains only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allotment letters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as proof of occupation. Despite this,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land parcels have been recorded in the respective asset registers as finalized assets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without clear distinction between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owned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leased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or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pending-ownership (Work in Progress)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status.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treatment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overstates asset ownership</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may lead to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misrepresentation of asset value and control</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 financial and management reports.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addition, review of fixed asset tagging practices revealed that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individual asset components were not distinctly tagged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For example, under one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workstation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only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monitor</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bore an asset tag, while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CPU and keyboard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were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individually tagged (Migori) but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rather assumed to fall under the monitor’s tag.  2 Printers in Homabay branch were not tagged. This approach compromises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traceability, accountability, and physical verification accuracy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Heading3"/>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Asset Misstatement and Ownership Risk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Because the branches record land parcels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without valid title deeds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as owned assets, there is a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financial and asset register misstatement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absence of proper ownership documents could lead to: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Disputes or loss of land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if ownership is legally challenged or reallocated.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Overstatement of society assets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 financial statements, potentially affecting audit opinions and compliance with accounting standards. </w:t>
            </w:r>
          </w:p>
          <w:p>
            <w:pPr>
              <w:pStyle w:val="Heading3"/>
              <w:keepNext w:val="off"/>
              <w:keepLines w:val="off"/>
              <w:spacing w:before="120" w:after="24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Weak Asset Accountability and Control Risk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Incomplete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tagging and documentation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(e.g., tagging only monitors and not CPUs or keyboards) increases the likelihood of: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misappropriation or loss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due to poor traceability.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Ineffective physical verification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difficulty in reconciling assets to the register.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Operational inefficiencies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weakened internal controls over asset management.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Land parcels should be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segregated in the asset register</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under a separate tab or sheet labeled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“Work in Progress (W.I.P.)”</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clearly indicating pending title deeds or incomplete ownership documentation. </w:t>
            </w:r>
          </w:p>
          <w:p>
            <w:pPr>
              <w:pStyle w:val="BodyText"/>
              <w:numPr>
                <w:ilvl w:val="0"/>
                <w:numId w:val="1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Each land parcel entry should be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supported by an action plan within the risk register</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to track progress on title acquisition and related compliance steps. </w:t>
            </w:r>
          </w:p>
          <w:p>
            <w:pPr>
              <w:pStyle w:val="BodyText"/>
              <w:numPr>
                <w:ilvl w:val="0"/>
                <w:numId w:val="14"/>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tagging should be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standardized to reflect all individual components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(e.g., monitor, CPU, and keyboard each with unique tags) to enhance traceability, ensure accurate inventory management, and strengthen internal controls.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1618269191"/>
            <w:r>
              <w:rPr/>
              <w:t xml:space="preserve"> F1 Inadequate controls on income recognition</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income and expenditure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30,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Unreceipted transaction posted in the accounting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From the review of the Vihiga branch, we established that receipt No. 4325 was posted in the accounting system on 03/09/2025 for KES 62,065 under the Humanity Power Walk activity without a corresponding official receipt or deposit evidence, contrary to the organization’s Financial Management and Accounting Policy requiring all receipts to be officially acknowledged and posted promptly.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Variation Between Physical Receipt Amounts and Corresponding System-Posted Amounts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review established differences between physical receipts and corresponding entries in the accounting system, where the amounts and descriptions posted varied from the details on the original receipts. This contravenes the organization’s Financial Management and Accounting Policy, which requires accurate and consistent recording of all financial transactions to ensure integrity and reliability of financial reports.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(Physical Receipt)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(Kshs)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Posted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Posted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(Kshs)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 in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System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193813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01/08/2025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Vihiga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24/07/2025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Youth in School Income – Chavakali Boys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193820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01/09/2025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Vihiga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09/09/2025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 Seth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193822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Vihiga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11/09/2025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 Ben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193823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26/09/2025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Vihiga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Life Membership – Vincent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3769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04/06/2025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Project Recovery – IFRC Mpox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04/06/2025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Project Recovery – IFRC Mpox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3760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18/06/2025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Occupational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First Aid – Betty Akoth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Kisumu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18/06/2025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Occupational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First Aid – Betty Akoth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Inaccurate receipt references in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Audit review established that several receipts were posted in the accounting system using incorrect receipt reference numbers, contrary to the organization’s Financial Management Policy, which requires accurate and timely recording of all receipts to ensure integrity and reliability of financial reports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Rct 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Physical Rct no: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Rct no: as per system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Amount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31/07/2025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3787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27/09/2025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3886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3836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04/06/2025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3768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4520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75,000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reconciliation between physical receipts and system postings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misstatements, potential fund loss, and reduced stakeholder confidence.</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RFO should conduct and document monthly reconciliations between the bank ledger, physical receipts, and Navision records.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Continuous capacity building of branch accountants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1715420770"/>
            <w:r>
              <w:rPr/>
              <w:t xml:space="preserve"> F2 Gaps in expenses management and non compliance with 25% surplus retention </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Review of controls around income and expenditure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Closed</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30,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Inadequately supported volunteer taxi transport expenses at Busia branch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2226"/>
              <w:gridCol w:w="2174"/>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Name of volunteer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advanced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supported with receipts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Amount not accounted for </w:t>
                  </w:r>
                </w:p>
              </w:tc>
            </w:tr>
            <w:tr>
              <w:trPr/>
              <w:tc>
                <w:tcPr>
                  <w:tcW w:w="1125" w:type="dxa"/>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29/07/2025 </w:t>
                  </w:r>
                </w:p>
              </w:tc>
              <w:tc>
                <w:tcPr>
                  <w:tcW w:w="1125" w:type="dxa"/>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25/807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Derrick Ojiambo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300 </w:t>
                  </w:r>
                </w:p>
              </w:tc>
            </w:tr>
            <w:tr>
              <w:trPr/>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Dorine Achieng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 </w:t>
                  </w:r>
                </w:p>
              </w:tc>
            </w:tr>
            <w:tr>
              <w:trPr/>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Teresia Wanjiru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3,450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150 </w:t>
                  </w:r>
                </w:p>
              </w:tc>
            </w:tr>
            <w:tr>
              <w:trPr/>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1125" w:type="dxa"/>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Daniel Matisi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3,600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 Partial compliance with surplus retention directive for development purposes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The National Executive Committee issued a directive requiring all branches to retain 25% of their unrestricted fund surplus for development purposes. However, audit review for the period June2025 to September 2025 revealed that only Busia and Vihiga branches had generated adequate surpluses to meet this requirement. The remaining three branches did not generate sufficient surplus to enable compliance, as detailed in the table below </w:t>
            </w:r>
          </w:p>
          <w:tbl>
            <w:tblPr>
              <w:tblW w:w="0" w:type="auto"/>
              <w:tblBorders>
                <w:top w:val="nil" w:sz="0" w:color="000000"/>
                <w:left w:val="nil" w:sz="0" w:color="000000"/>
                <w:bottom w:val="nil" w:sz="0" w:color="000000"/>
                <w:right w:val="nil" w:sz="0" w:color="000000"/>
                <w:insideH w:val="nil" w:sz="0" w:color="000000"/>
                <w:insideV w:val="nil" w:sz="0" w:color="000000"/>
              </w:tblBorders>
              <w:tblLayout w:type="fixed"/>
            </w:tblPr>
            <w:tblGrid>
              <w:gridCol w:w="1125"/>
              <w:gridCol w:w="1125"/>
              <w:gridCol w:w="1125"/>
              <w:gridCol w:w="1125"/>
              <w:gridCol w:w="1125"/>
              <w:gridCol w:w="1125"/>
              <w:gridCol w:w="1125"/>
              <w:gridCol w:w="1125"/>
              <w:gridCol w:w="1125"/>
            </w:tblGrid>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COUNTY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KISUMU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BUSIA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KAKAMEGA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VIHIGA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NYAMIRA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KISII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HOMABAY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MIGORI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3,246,758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3,147,585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734,549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526,715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536,089.00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1,570,984.00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3,320,300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860,472.00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Expense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2,527,503.95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2,057,195.90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951,570.43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379,076.90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410,556.00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1,407,042.60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2,751,458.65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1,924,304.00 </w:t>
                  </w:r>
                  <w:r>
                    <w:br w:type="textWrapping"/>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719,254.05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1,090,389.10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(217,021.43)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147,638.10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125,533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163,941.4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568,841.35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(1,063,832) </w:t>
                  </w:r>
                </w:p>
              </w:tc>
            </w:tr>
            <w:tr>
              <w:trPr/>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 of Income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35%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23%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10%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17% </w:t>
                  </w:r>
                </w:p>
              </w:tc>
              <w:tc>
                <w:tcPr>
                  <w:tcW w:w="1125" w:type="dxa"/>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 Unaccounted Petty Cash Advance for Office Utilities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audit review of financial operations at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Kenya Red Cross Homa Bay Branch (West Kenya Region)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established that a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petty cash amounting to Ksh 9,000</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was issued to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accountant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for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purchase of office utilities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However,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supporting documentation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—such as receipts, invoices, or acknowledgment forms—was provided to verify that the funds were utilized for the intended purpose. As a result, the expenditure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remained unaccounted for</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the time of audit.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This practice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contravenes the Kenya Red Cross Society’s financial management procedures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governing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staff advances and petty cash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which require that all funds issued in advance must be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properly supported and fully accounted for within the prescribed timeframe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lack of accountability over petty cash advances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increases the risk of misuse of funds, inaccurate financial reporting, and weakened internal controls over cash management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the branch level.</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 Weaknesses in Documentation, Approval, and Segregation of Duties in Procurement and Activity Expenditure Processes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audit review of procurement and activity expenditure records across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Kenya Region branches (Nyamira, Kisii, and Homa Bay)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revealed instances of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financial and procurement control requirements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specifically relating to documentation completeness, segregation of duties, and approval processes.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Key observations include: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PV25/493/NYA (Ksh 29,250 – Purchase of Shirts):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Purchase Requisition Form (PRF No. WKRPRF-25-0147)</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was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signed only by the preparer</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with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evidence of review or approval</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indicating a lack of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segregation of duties (SoD)</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oversight in the procurement initiation process.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PV25/496/NYA (Ksh 10,800 – Commercial First Aid Activity):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Supporting documents such as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photographs and participant lists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were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missing</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making it difficult to verify whether the activity took place as reported.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PV25/869/KSI (Ksh 80,000 – Long Outstanding Payment):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This payment voucher has been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outstanding since 2021</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the supporting documentation contains inconsistencies — for example, an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LPO dated November 2021</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attached to a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Comparative Bid Analysis (CBA) dated November 2022</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raising concerns about record accuracy and authenticity. </w:t>
            </w:r>
          </w:p>
          <w:p>
            <w:pPr>
              <w:pStyle w:val="BodyText"/>
              <w:numPr>
                <w:ilvl w:val="0"/>
                <w:numId w:val="15"/>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PV25/979/HBY (Training Activity):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While the training was supported by contracts and attendance records,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training attendance lists were not formally signed off together with the activity completion report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limiting the assurance of proper activity closure.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Probable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review and approval controls over expense documentation and payments.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internal financial policies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internal controls by enforcing dual verification of all volunteer payments, including supporting documentation      </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Explore innovative strategies to increase resource mobilization while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implementing measures to reduce operational costs.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West Kenya region spot check October 2025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26</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a9533efe"/>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3">
    <w:multiLevelType w:val="hybridMultilevel"/>
    <w:tmpl w:val="20a27cd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a9550455"/>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5">
    <w:multiLevelType w:val="hybridMultilevel"/>
    <w:tmpl w:val="ddd4ce48"/>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High</c:v>
              </c:pt>
              <c:pt idx="1">
                <c:v>Medium</c:v>
              </c:pt>
            </c:strLit>
          </c:cat>
          <c:val>
            <c:numLit>
              <c:formatCode>General</c:formatCode>
              <c:ptCount val="2"/>
              <c:pt idx="0">
                <c:v>4</c:v>
              </c:pt>
              <c:pt idx="1">
                <c:v>2</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4"/>
              <c:pt idx="0">
                <c:v>RSCMO and CC</c:v>
              </c:pt>
              <c:pt idx="1">
                <c:v>RFO</c:v>
              </c:pt>
              <c:pt idx="2">
                <c:v>HOR/RFO</c:v>
              </c:pt>
              <c:pt idx="3">
                <c:v>CC</c:v>
              </c:pt>
            </c:strLit>
          </c:cat>
          <c:val>
            <c:numLit>
              <c:formatCode>General</c:formatCode>
              <c:ptCount val="4"/>
              <c:pt idx="0">
                <c:v>1</c:v>
              </c:pt>
              <c:pt idx="1">
                <c:v>3</c:v>
              </c:pt>
              <c:pt idx="2">
                <c:v>1</c:v>
              </c:pt>
              <c:pt idx="3">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26</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2026-04-02T08:20:00Z</dcterms:created>
  <dcterms:modified xsi:type="dcterms:W3CDTF">2026-04-02T08:20:00Z</dcterms:modified>
</cp:coreProperties>
</file>