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128862147"/>
            <w:r>
              <w:rPr>
                <w:color w:val="FFFFFF" w:themeColor="background1"/>
                <w:sz w:val="90"/>
                <w:szCs w:val="90"/>
              </w:rPr>
              <w:t xml:space="preserve">KRCS upper eastern 2025 spot check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23,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23,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018287153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569086155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087315307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503013821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Gaps in bank and cash management</w:t>
      </w:r>
      <w:r>
        <w:rPr>
          <w:rFonts w:asciiTheme="minorHAnsi" w:hAnsiTheme="minorHAnsi"/>
          <w:bCs/>
          <w:color w:val="070F13" w:themeColor="text1"/>
          <w:sz w:val="24"/>
        </w:rPr>
        <w:tab/>
      </w:r>
      <w:fldSimple w:instr=" PAGEREF _Toc2013416876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F3 Gaps in procurement process</w:t>
      </w:r>
      <w:r>
        <w:rPr>
          <w:rFonts w:asciiTheme="minorHAnsi" w:hAnsiTheme="minorHAnsi"/>
          <w:bCs/>
          <w:color w:val="070F13" w:themeColor="text1"/>
          <w:sz w:val="24"/>
        </w:rPr>
        <w:tab/>
      </w:r>
      <w:fldSimple w:instr=" PAGEREF _Toc1016758167 ">
        <w:r>
          <w:rPr>
            <w:rFonts w:asciiTheme="minorHAnsi" w:hAnsiTheme="minorHAnsi"/>
            <w:bCs/>
            <w:color w:val="070F13" w:themeColor="text1"/>
            <w:sz w:val="24"/>
          </w:rPr>
          <w:t xml:space="preserve">9</w:t>
        </w:r>
      </w:fldSimple>
    </w:p>
    <w:p>
      <w:pPr>
        <w:pStyle w:val="TOC1"/>
        <w:spacing w:before="120"/>
        <w:rPr/>
      </w:pPr>
      <w:r>
        <w:rPr>
          <w:rFonts w:asciiTheme="minorHAnsi" w:hAnsiTheme="minorHAnsi"/>
          <w:bCs/>
          <w:color w:val="070F13" w:themeColor="text1"/>
          <w:sz w:val="24"/>
        </w:rPr>
        <w:t xml:space="preserve">F4 Long outstanding payables</w:t>
      </w:r>
      <w:r>
        <w:rPr>
          <w:rFonts w:asciiTheme="minorHAnsi" w:hAnsiTheme="minorHAnsi"/>
          <w:bCs/>
          <w:color w:val="070F13" w:themeColor="text1"/>
          <w:sz w:val="24"/>
        </w:rPr>
        <w:tab/>
      </w:r>
      <w:fldSimple w:instr=" PAGEREF _Toc1802588763 ">
        <w:r>
          <w:rPr>
            <w:rFonts w:asciiTheme="minorHAnsi" w:hAnsiTheme="minorHAnsi"/>
            <w:bCs/>
            <w:color w:val="070F13" w:themeColor="text1"/>
            <w:sz w:val="24"/>
          </w:rPr>
          <w:t xml:space="preserve">11</w:t>
        </w:r>
      </w:fldSimple>
    </w:p>
    <w:p>
      <w:pPr>
        <w:pStyle w:val="TOC1"/>
        <w:spacing w:before="120"/>
        <w:rPr/>
      </w:pPr>
      <w:r>
        <w:rPr>
          <w:rFonts w:asciiTheme="minorHAnsi" w:hAnsiTheme="minorHAnsi"/>
          <w:bCs/>
          <w:color w:val="070F13" w:themeColor="text1"/>
          <w:sz w:val="24"/>
        </w:rPr>
        <w:t xml:space="preserve">F5 Long outstanding receivables at the branches</w:t>
      </w:r>
      <w:r>
        <w:rPr>
          <w:rFonts w:asciiTheme="minorHAnsi" w:hAnsiTheme="minorHAnsi"/>
          <w:bCs/>
          <w:color w:val="070F13" w:themeColor="text1"/>
          <w:sz w:val="24"/>
        </w:rPr>
        <w:tab/>
      </w:r>
      <w:fldSimple w:instr=" PAGEREF _Toc1244404812 ">
        <w:r>
          <w:rPr>
            <w:rFonts w:asciiTheme="minorHAnsi" w:hAnsiTheme="minorHAnsi"/>
            <w:bCs/>
            <w:color w:val="070F13" w:themeColor="text1"/>
            <w:sz w:val="24"/>
          </w:rPr>
          <w:t xml:space="preserve">13</w:t>
        </w:r>
      </w:fldSimple>
    </w:p>
    <w:p>
      <w:pPr>
        <w:pStyle w:val="TOC1"/>
        <w:spacing w:before="120"/>
        <w:rPr/>
      </w:pPr>
      <w:r>
        <w:rPr>
          <w:rFonts w:asciiTheme="minorHAnsi" w:hAnsiTheme="minorHAnsi"/>
          <w:bCs/>
          <w:color w:val="070F13" w:themeColor="text1"/>
          <w:sz w:val="24"/>
        </w:rPr>
        <w:t xml:space="preserve">F6 Security risk exposure due to lack of liability transfer at Marsabit branch</w:t>
      </w:r>
      <w:r>
        <w:rPr>
          <w:rFonts w:asciiTheme="minorHAnsi" w:hAnsiTheme="minorHAnsi"/>
          <w:bCs/>
          <w:color w:val="070F13" w:themeColor="text1"/>
          <w:sz w:val="24"/>
        </w:rPr>
        <w:tab/>
      </w:r>
      <w:fldSimple w:instr=" PAGEREF _Toc403029032 ">
        <w:r>
          <w:rPr>
            <w:rFonts w:asciiTheme="minorHAnsi" w:hAnsiTheme="minorHAnsi"/>
            <w:bCs/>
            <w:color w:val="070F13" w:themeColor="text1"/>
            <w:sz w:val="24"/>
          </w:rPr>
          <w:t xml:space="preserve">16</w:t>
        </w:r>
      </w:fldSimple>
    </w:p>
    <w:p>
      <w:pPr>
        <w:pStyle w:val="TOC1"/>
        <w:spacing w:before="120"/>
        <w:rPr/>
      </w:pPr>
      <w:r>
        <w:rPr>
          <w:rFonts w:asciiTheme="minorHAnsi" w:hAnsiTheme="minorHAnsi"/>
          <w:bCs/>
          <w:color w:val="070F13" w:themeColor="text1"/>
          <w:sz w:val="24"/>
        </w:rPr>
        <w:t xml:space="preserve">F6 Inadequate regional and branch leadership impacting operational efficiency</w:t>
      </w:r>
      <w:r>
        <w:rPr>
          <w:rFonts w:asciiTheme="minorHAnsi" w:hAnsiTheme="minorHAnsi"/>
          <w:bCs/>
          <w:color w:val="070F13" w:themeColor="text1"/>
          <w:sz w:val="24"/>
        </w:rPr>
        <w:tab/>
      </w:r>
      <w:fldSimple w:instr=" PAGEREF _Toc1665872114 ">
        <w:r>
          <w:rPr>
            <w:rFonts w:asciiTheme="minorHAnsi" w:hAnsiTheme="minorHAnsi"/>
            <w:bCs/>
            <w:color w:val="070F13" w:themeColor="text1"/>
            <w:sz w:val="24"/>
          </w:rPr>
          <w:t xml:space="preserve">18</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018287153"/>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sz w:val="24"/>
          <w:szCs w:val="24"/>
        </w:rPr>
        <w:t xml:space="preserve">The main purpose of this audit is to review controls in regard to:</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            1} Income management</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            2} Expenses Management</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            3} Procurement process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            4} Receivables &amp; Payables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sz w:val="24"/>
          <w:szCs w:val="24"/>
        </w:rPr>
        <w:t xml:space="preserve">Internal Audit and Risk Management’s mandate is to provide assurance over Branch’s governance, soundness of internal control systems, and that risks are adequately assessed and managed to enhance operational effectiveness and efficiency of the Society.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As part of the 2025 audit plan, the Internal Audit department conducted a review of Marsabit and Isiolo Branches to determine if the controls are operating effectively and in compliance with the Society's policies and objectives.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sz w:val="24"/>
          <w:szCs w:val="24"/>
        </w:rPr>
        <w:t xml:space="preserve">The scope of the audit covers all activities undertaken by Marsabit and Isiolo branches from January 2025 to May 2025.</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569086155"/>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0%</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sz w:val="24"/>
          <w:szCs w:val="24"/>
        </w:rPr>
        <w:t xml:space="preserve">Following our review, we conclude that the controls around KRCS Marsabit and Isiolo branches processes </w:t>
      </w:r>
      <w:r>
        <w:rPr>
          <w:rFonts w:ascii="Calibri" w:hAnsi="Calibri"/>
          <w:b w:val="on"/>
          <w:color w:val="070F13"/>
          <w:sz w:val="24"/>
          <w:szCs w:val="24"/>
        </w:rPr>
        <w:t xml:space="preserve">NEEDS IMPROVEMENT</w:t>
      </w:r>
      <w:r>
        <w:rPr>
          <w:rFonts w:ascii="Calibri" w:hAnsi="Calibri"/>
          <w:b w:val="off"/>
          <w:color w:val="070F13"/>
          <w:sz w:val="24"/>
          <w:szCs w:val="24"/>
        </w:rPr>
        <w:t xml:space="preserve">. We observed control gaps as detailed in this report that require management action</w:t>
      </w:r>
      <w:r>
        <w:rPr>
          <w:rFonts w:ascii="Calibri" w:hAnsi="Calibri"/>
          <w:color w:val="070F13" w:themeColor="text1"/>
          <w:sz w:val="24"/>
          <w:szCs w:val="24"/>
        </w:rPr>
        <w:t xml:space="preserve">.</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087315307"/>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income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expenses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procurement processes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payables </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Cash and bank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receivables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branch security</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corporate governance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1</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6</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1</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6</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503013821"/>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  Gaps in bank and cash management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procurement process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co-ordinators</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Long outstanding payables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F5</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Long outstanding receivables at the branches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F6</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Security risk exposure due to lack of liability transfer at Marsabit branch</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co-ordinator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F6</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Inadequate regional and branch leadership impacting operational efficiency</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Human resource</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2013416876"/>
            <w:r>
              <w:rPr/>
              <w:t xml:space="preserve">    Gaps in bank and cash management</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Cash and bank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Section 8.4.1 of the KRCS Finance manual states that "The society discourages cash payment and will only be used is unique and emergency cases. The formal written request to pay in cash should be addressed to the HOF for approval and should be done at least a day in advance" Additionally there was a reminder memo from the office of DSG corporate services on 18th of July 2024 for the same.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During the review of cash receipts and corresponding bank statements for the Isiolo branch, it was noted that although bank reconciliations were timely prepared, approved, and free from long-outstanding reconciling items,we however noted an instance of delayed banking where cash amounting to Kshs 2,000 received on 15/05/2025 was deposited into the bank account on 30/05/2025 — a delay of 15 days, contrary to sound cash management practices as shown below:-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gridCol w:w="1125"/>
              <w:gridCol w:w="1125"/>
              <w:gridCol w:w="1125"/>
            </w:tblGrid>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received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banked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Particulars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RCT NO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15/05/2025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30/05/2025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Ordinary membership-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Bulle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RCPT121209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15/05/2025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30/05/2025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OFA Training Carol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RCPT1423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Probable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enforcement of cash handling procedures at the branch level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 management should promote use of non-cash payment methods: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1016758167"/>
            <w:r>
              <w:rPr/>
              <w:t xml:space="preserve"> F3 Gaps in procurement process</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procurement processes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co-ordinators</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procurement policy requires that goods and services be sourced from suppliers on the organization’s prequalified list to ensure transparency, fairness, and value for money. However, a review of procurement transactions at Marsabit and Isiolo branches revealed that several purchases were made from vendors who were not in the approved prequalified supplier list.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affected cases are analysed below:-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autofit"/>
            </w:tblPr>
            <w:tblGrid>
              <w:gridCol w:w="1257"/>
              <w:gridCol w:w="1605"/>
              <w:gridCol w:w="3699"/>
              <w:gridCol w:w="1578"/>
              <w:gridCol w:w="1704"/>
              <w:gridCol w:w="2431"/>
              <w:gridCol w:w="1910"/>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Office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Posting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Particulars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PV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(Kshs)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Supplier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Status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Marsabit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11/02/2025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Supply of gifts for office opening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25/20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Gumato Dida Badage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Not prequalified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Marsabit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07/03/2025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Full-day conference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INV703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231,000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Silvia's Inn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Not prequalified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Marsabit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10/04/2025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Training/workshop costs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25/064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Nagayo Palace Hotel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Not prequalified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Isiolo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16/05/2025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Refreshments for training workshops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UER/25/095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16,140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Munawar Shop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Not prequalified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Isiolo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16/05/2025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Purchase of trophy and paper rim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UER/25/091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27,600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Blue Note Investments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Not prequalified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Probable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Limited availability of prequalified vendors in remote areas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Weak oversight mechanisms to validate supplier status before engagement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Procurement from non-prequalified vendors may expose the organization to favoritism, conflict of interest, or collusion.</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region procurement team should strengthen internal controls by requiring pre-engagement checks to confirm supplier prequalification status before issuing purchase orders or processing payments.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802588763"/>
            <w:r>
              <w:rPr/>
              <w:t xml:space="preserve"> F4 Long outstanding payables</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payables </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Effective accounts payable management requires timely settlement of obligations in line with agreed terms to maintain positive supplier relationships, avoid financial penalties, and ensure the accuracy of financial reporting. A review of accounts payable records for the Marsabit branch revealed that several supplier balances have remained unpaid for extended periods, some dating back to 2023 and 2024. The total value of these overdue payables amounts to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Kshs 7,734,038 as per the table below: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1076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3668"/>
              <w:gridCol w:w="1054"/>
              <w:gridCol w:w="2085"/>
              <w:gridCol w:w="1868"/>
              <w:gridCol w:w="2085"/>
            </w:tblGrid>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Marsabit branch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Vendor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2023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2025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AHMED SHEIKH HAROUB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-3,727,148.00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-3,727,148.00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Isiolo Mwangaza Co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-331,450.00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-331,450.00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JAYHAN INVESTMENT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-251,000.00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-251,000.00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JEY EME CONSTRUCTION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-1,209,692.00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-1,209,692.00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Upper Eastern Region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-1,983,748.00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-1,983,748.00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Silvia's inn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-231,000.00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-231,000.00 </w:t>
                  </w:r>
                </w:p>
              </w:tc>
            </w:tr>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0.00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-7,503,038.00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-231,000.00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-7,734,038.00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Probable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Limited fund availability at the branch, reflecting gaps in cash flow planning and funding alignment.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Strained supplier relationships leading to delays in goods/services delivery</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 management should engage affected vendors to establish structured payment plans for settlement of overdue balances, prioritizing high-risk or large-value accounts.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1244404812"/>
            <w:r>
              <w:rPr/>
              <w:t xml:space="preserve"> F5 Long outstanding receivables at the branches</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receivables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Effective receivables management is essential to maintain organizational liquidity and prevent accumulation of debts with uncertain recoverability. Best practice requires that receivables be regularly monitored, reconciled, and collected within agreed timelines.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review of receivable balances at Marsabit and Isiolo branches revealed a total of Kshs 2,134,978 in outstanding receivables, a significant portion of which has remained uncollected for over 120 days.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At Marsabit branch</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out of a total receivable balance of Kshs 1,030,000, an estimated Kshs 610,000 has been outstanding for extended periods.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At Isiolo branch</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entire Kshs 1,104,978 receivable balance has remained uncollected for over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120 days. </w:t>
            </w:r>
          </w:p>
          <w:tbl>
            <w:tblPr>
              <w:tblW w:w="1334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2283"/>
              <w:gridCol w:w="1904"/>
              <w:gridCol w:w="1987"/>
              <w:gridCol w:w="1697"/>
              <w:gridCol w:w="1782"/>
              <w:gridCol w:w="1782"/>
              <w:gridCol w:w="1905"/>
            </w:tblGrid>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Marsabit branch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Project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2021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2022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2023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2025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DM-OPS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2,411,000.00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-2,151,000.00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127,500.00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-127,500.00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260,000.00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DPR516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HQ- Regional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615,000.00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-315,000.00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ICRC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420,000.00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420,000.00 </w:t>
                  </w:r>
                </w:p>
              </w:tc>
            </w:tr>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2,411,000.00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-2,101,000.00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127,500.00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487,500.00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105,000.00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1,030,000.00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gridCol w:w="1125"/>
              <w:gridCol w:w="1125"/>
              <w:gridCol w:w="1125"/>
              <w:gridCol w:w="1125"/>
              <w:gridCol w:w="1125"/>
            </w:tblGrid>
            <w:tr>
              <w:trPr/>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Isiolo branch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2021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2022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2023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2025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Project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Global fund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294083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293978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ICRC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126000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45000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-126000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45000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Regional office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760000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760000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Unpaid membership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6500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6000 </w:t>
                  </w:r>
                </w:p>
              </w:tc>
            </w:tr>
            <w:tr>
              <w:trPr/>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886000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51500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167583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-105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1104978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Probable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Budget over runs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 management should develop and implement a receivables follow-up plan:</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9" w:name="_Toc403029032"/>
            <w:r>
              <w:rPr/>
              <w:t xml:space="preserve"> F6 Security risk exposure due to lack of liability transfer at Marsabit branch</w:t>
            </w:r>
            <w:bookmarkEnd w:id="9"/>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branch security</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co-ordinator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23,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Marsabit branch currently relies on two individually hired guards for daytime and nighttime security, each earning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Kshs 18,000 per month</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amounting to a total monthly cost of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Kshs 36,000.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While this arrangement provides basic security coverage, it lacks the formal structure, supervision, and liability protection offered by professional security service providers.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Probable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assessment on the cost-benefit and risk implications of contracted security services.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the event of theft, damage, or injury, the organization may bear full legal and financial responsibility, as there is no formal transfer of risk to a contracted service provider</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management should consider contracting a professional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security company within the existing cost framework to enhance protection, ensure personnel oversight, and transfer liability risk through contractual obligations and insurance coverage.</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0" w:name="_Toc1665872114"/>
            <w:r>
              <w:rPr/>
              <w:t xml:space="preserve"> F6 Inadequate regional and branch leadership impacting operational efficiency</w:t>
            </w:r>
            <w:bookmarkEnd w:id="10"/>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corporate governance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Human resource</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July  2,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Our review of the upper eastern offices  we noted  significant leadership gaps that have adversely affected operations and governance. Specifically: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region does not have a designated Head of Region (HOR). Consequently, the HOR based in West Kenya is also overseeing Upper Eastern, which may lead to divided attention and has also lead to delays in critical processes such as cheque signing and other approvals. This has resulted in operational inefficiencies </w:t>
            </w:r>
          </w:p>
          <w:p>
            <w:pPr>
              <w:pStyle w:val="BodyText"/>
              <w:numPr>
                <w:ilvl w:val="0"/>
                <w:numId w:val="12"/>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Similarly, Isiolo branch lacks a Branch County Coordinator (BCC), requiring the Regional Programme Coordinator (RPC) to step in and handle branch-level responsibilities. This has overextended the RPC’s mandate, and this may potentially lead to  weakening accountability at the branch level.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Probable root cause</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Delay in recruitment/redeployment of staff in the vacant positions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absence of direct leadership may weaken internal controls and oversight, increasing the risk of policy non-compliance, procedural lapses, and undetected errors or irregularities.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urgently prioritize the recruitment or deployment of a dedicated Head of Region for Upper Eastern and a Branch County Coordinator for Isiolo to enhance oversight, streamline decision-making, and uphold accountability.</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upper eastern 2025 spot check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19</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4d233779"/>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High</c:v>
              </c:pt>
              <c:pt idx="1">
                <c:v>Medium</c:v>
              </c:pt>
            </c:strLit>
          </c:cat>
          <c:val>
            <c:numLit>
              <c:formatCode>General</c:formatCode>
              <c:ptCount val="2"/>
              <c:pt idx="0">
                <c:v>5</c:v>
              </c:pt>
              <c:pt idx="1">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4"/>
              <c:pt idx="0">
                <c:v>Human resource</c:v>
              </c:pt>
              <c:pt idx="1">
                <c:v>County co-ordinator</c:v>
              </c:pt>
              <c:pt idx="2">
                <c:v>County co-ordinators</c:v>
              </c:pt>
              <c:pt idx="3">
                <c:v>RFO</c:v>
              </c:pt>
            </c:strLit>
          </c:cat>
          <c:val>
            <c:numLit>
              <c:formatCode>General</c:formatCode>
              <c:ptCount val="4"/>
              <c:pt idx="0">
                <c:v>1</c:v>
              </c:pt>
              <c:pt idx="1">
                <c:v>3</c:v>
              </c:pt>
              <c:pt idx="2">
                <c:v>1</c:v>
              </c:pt>
              <c:pt idx="3">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19</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2026-04-02T08:42:00Z</dcterms:created>
  <dcterms:modified xsi:type="dcterms:W3CDTF">2026-04-02T08:42:00Z</dcterms:modified>
</cp:coreProperties>
</file>