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1167668116"/>
            <w:r>
              <w:rPr>
                <w:color w:val="FFFFFF" w:themeColor="background1"/>
                <w:sz w:val="90"/>
                <w:szCs w:val="90"/>
              </w:rPr>
              <w:t xml:space="preserve">Kitui and Makueni branch Spot Check June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18,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20,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469429659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29752996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724985366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479119592 ">
        <w:r>
          <w:rPr>
            <w:rFonts w:asciiTheme="minorHAnsi" w:hAnsiTheme="minorHAnsi"/>
            <w:bCs/>
            <w:color w:val="070F13" w:themeColor="text1"/>
            <w:sz w:val="24"/>
          </w:rPr>
          <w:t xml:space="preserve">8</w:t>
        </w:r>
      </w:fldSimple>
    </w:p>
    <w:p>
      <w:pPr>
        <w:pStyle w:val="TOC1"/>
        <w:spacing w:before="120"/>
        <w:rPr/>
      </w:pPr>
      <w:r>
        <w:rPr>
          <w:rFonts w:asciiTheme="minorHAnsi" w:hAnsiTheme="minorHAnsi"/>
          <w:bCs/>
          <w:color w:val="070F13" w:themeColor="text1"/>
          <w:sz w:val="24"/>
        </w:rPr>
        <w:t xml:space="preserve">Inadequate segregation of Duties on Procurement function</w:t>
      </w:r>
      <w:r>
        <w:rPr>
          <w:rFonts w:asciiTheme="minorHAnsi" w:hAnsiTheme="minorHAnsi"/>
          <w:bCs/>
          <w:color w:val="070F13" w:themeColor="text1"/>
          <w:sz w:val="24"/>
        </w:rPr>
        <w:tab/>
      </w:r>
      <w:fldSimple w:instr=" PAGEREF _Toc1412998509 ">
        <w:r>
          <w:rPr>
            <w:rFonts w:asciiTheme="minorHAnsi" w:hAnsiTheme="minorHAnsi"/>
            <w:bCs/>
            <w:color w:val="070F13" w:themeColor="text1"/>
            <w:sz w:val="24"/>
          </w:rPr>
          <w:t xml:space="preserve">9</w:t>
        </w:r>
      </w:fldSimple>
    </w:p>
    <w:p>
      <w:pPr>
        <w:pStyle w:val="TOC1"/>
        <w:spacing w:before="120"/>
        <w:rPr/>
      </w:pPr>
      <w:r>
        <w:rPr>
          <w:rFonts w:asciiTheme="minorHAnsi" w:hAnsiTheme="minorHAnsi"/>
          <w:bCs/>
          <w:color w:val="070F13" w:themeColor="text1"/>
          <w:sz w:val="24"/>
        </w:rPr>
        <w:t xml:space="preserve">Improvement on secretariat  functions to Governance</w:t>
      </w:r>
      <w:r>
        <w:rPr>
          <w:rFonts w:asciiTheme="minorHAnsi" w:hAnsiTheme="minorHAnsi"/>
          <w:bCs/>
          <w:color w:val="070F13" w:themeColor="text1"/>
          <w:sz w:val="24"/>
        </w:rPr>
        <w:tab/>
      </w:r>
      <w:fldSimple w:instr=" PAGEREF _Toc300705 ">
        <w:r>
          <w:rPr>
            <w:rFonts w:asciiTheme="minorHAnsi" w:hAnsiTheme="minorHAnsi"/>
            <w:bCs/>
            <w:color w:val="070F13" w:themeColor="text1"/>
            <w:sz w:val="24"/>
          </w:rPr>
          <w:t xml:space="preserve">10</w:t>
        </w:r>
      </w:fldSimple>
    </w:p>
    <w:p>
      <w:pPr>
        <w:pStyle w:val="TOC1"/>
        <w:spacing w:before="120"/>
        <w:rPr/>
      </w:pPr>
      <w:r>
        <w:rPr>
          <w:rFonts w:asciiTheme="minorHAnsi" w:hAnsiTheme="minorHAnsi"/>
          <w:bCs/>
          <w:color w:val="070F13" w:themeColor="text1"/>
          <w:sz w:val="24"/>
        </w:rPr>
        <w:t xml:space="preserve">Delayed Change of Bank Signatories</w:t>
      </w:r>
      <w:r>
        <w:rPr>
          <w:rFonts w:asciiTheme="minorHAnsi" w:hAnsiTheme="minorHAnsi"/>
          <w:bCs/>
          <w:color w:val="070F13" w:themeColor="text1"/>
          <w:sz w:val="24"/>
        </w:rPr>
        <w:tab/>
      </w:r>
      <w:fldSimple w:instr=" PAGEREF _Toc1936458885 ">
        <w:r>
          <w:rPr>
            <w:rFonts w:asciiTheme="minorHAnsi" w:hAnsiTheme="minorHAnsi"/>
            <w:bCs/>
            <w:color w:val="070F13" w:themeColor="text1"/>
            <w:sz w:val="24"/>
          </w:rPr>
          <w:t xml:space="preserve">12</w:t>
        </w:r>
      </w:fldSimple>
    </w:p>
    <w:p>
      <w:pPr>
        <w:pStyle w:val="TOC1"/>
        <w:spacing w:before="120"/>
        <w:rPr/>
      </w:pPr>
      <w:r>
        <w:rPr>
          <w:rFonts w:asciiTheme="minorHAnsi" w:hAnsiTheme="minorHAnsi"/>
          <w:bCs/>
          <w:color w:val="070F13" w:themeColor="text1"/>
          <w:sz w:val="24"/>
        </w:rPr>
        <w:t xml:space="preserve">Ineffective use of VMMS</w:t>
      </w:r>
      <w:r>
        <w:rPr>
          <w:rFonts w:asciiTheme="minorHAnsi" w:hAnsiTheme="minorHAnsi"/>
          <w:bCs/>
          <w:color w:val="070F13" w:themeColor="text1"/>
          <w:sz w:val="24"/>
        </w:rPr>
        <w:tab/>
      </w:r>
      <w:fldSimple w:instr=" PAGEREF _Toc1336592090 ">
        <w:r>
          <w:rPr>
            <w:rFonts w:asciiTheme="minorHAnsi" w:hAnsiTheme="minorHAnsi"/>
            <w:bCs/>
            <w:color w:val="070F13" w:themeColor="text1"/>
            <w:sz w:val="24"/>
          </w:rPr>
          <w:t xml:space="preserve">14</w:t>
        </w:r>
      </w:fldSimple>
    </w:p>
    <w:p>
      <w:pPr>
        <w:pStyle w:val="TOC1"/>
        <w:spacing w:before="120"/>
        <w:rPr/>
      </w:pPr>
      <w:r>
        <w:rPr>
          <w:rFonts w:asciiTheme="minorHAnsi" w:hAnsiTheme="minorHAnsi"/>
          <w:bCs/>
          <w:color w:val="070F13" w:themeColor="text1"/>
          <w:sz w:val="24"/>
        </w:rPr>
        <w:t xml:space="preserve">County Coordinator on Acting Capacity</w:t>
      </w:r>
      <w:r>
        <w:rPr>
          <w:rFonts w:asciiTheme="minorHAnsi" w:hAnsiTheme="minorHAnsi"/>
          <w:bCs/>
          <w:color w:val="070F13" w:themeColor="text1"/>
          <w:sz w:val="24"/>
        </w:rPr>
        <w:tab/>
      </w:r>
      <w:fldSimple w:instr=" PAGEREF _Toc971286344 ">
        <w:r>
          <w:rPr>
            <w:rFonts w:asciiTheme="minorHAnsi" w:hAnsiTheme="minorHAnsi"/>
            <w:bCs/>
            <w:color w:val="070F13" w:themeColor="text1"/>
            <w:sz w:val="24"/>
          </w:rPr>
          <w:t xml:space="preserve">15</w:t>
        </w:r>
      </w:fldSimple>
    </w:p>
    <w:p>
      <w:pPr>
        <w:pStyle w:val="TOC1"/>
        <w:spacing w:before="120"/>
        <w:rPr/>
      </w:pPr>
      <w:r>
        <w:rPr>
          <w:rFonts w:asciiTheme="minorHAnsi" w:hAnsiTheme="minorHAnsi"/>
          <w:bCs/>
          <w:color w:val="070F13" w:themeColor="text1"/>
          <w:sz w:val="24"/>
        </w:rPr>
        <w:t xml:space="preserve">Office Space utilisation</w:t>
      </w:r>
      <w:r>
        <w:rPr>
          <w:rFonts w:asciiTheme="minorHAnsi" w:hAnsiTheme="minorHAnsi"/>
          <w:bCs/>
          <w:color w:val="070F13" w:themeColor="text1"/>
          <w:sz w:val="24"/>
        </w:rPr>
        <w:tab/>
      </w:r>
      <w:fldSimple w:instr=" PAGEREF _Toc1235328289 ">
        <w:r>
          <w:rPr>
            <w:rFonts w:asciiTheme="minorHAnsi" w:hAnsiTheme="minorHAnsi"/>
            <w:bCs/>
            <w:color w:val="070F13" w:themeColor="text1"/>
            <w:sz w:val="24"/>
          </w:rPr>
          <w:t xml:space="preserve">16</w:t>
        </w:r>
      </w:fldSimple>
    </w:p>
    <w:p>
      <w:pPr>
        <w:pStyle w:val="TOC1"/>
        <w:spacing w:before="120"/>
        <w:rPr/>
      </w:pPr>
      <w:r>
        <w:rPr>
          <w:rFonts w:asciiTheme="minorHAnsi" w:hAnsiTheme="minorHAnsi"/>
          <w:bCs/>
          <w:color w:val="070F13" w:themeColor="text1"/>
          <w:sz w:val="24"/>
        </w:rPr>
        <w:t xml:space="preserve">Staff Management</w:t>
      </w:r>
      <w:r>
        <w:rPr>
          <w:rFonts w:asciiTheme="minorHAnsi" w:hAnsiTheme="minorHAnsi"/>
          <w:bCs/>
          <w:color w:val="070F13" w:themeColor="text1"/>
          <w:sz w:val="24"/>
        </w:rPr>
        <w:tab/>
      </w:r>
      <w:fldSimple w:instr=" PAGEREF _Toc684886424 ">
        <w:r>
          <w:rPr>
            <w:rFonts w:asciiTheme="minorHAnsi" w:hAnsiTheme="minorHAnsi"/>
            <w:bCs/>
            <w:color w:val="070F13" w:themeColor="text1"/>
            <w:sz w:val="24"/>
          </w:rPr>
          <w:t xml:space="preserve">17</w:t>
        </w:r>
      </w:fldSimple>
    </w:p>
    <w:p>
      <w:pPr>
        <w:pStyle w:val="TOC1"/>
        <w:spacing w:before="120"/>
        <w:rPr/>
      </w:pPr>
      <w:r>
        <w:rPr>
          <w:rFonts w:asciiTheme="minorHAnsi" w:hAnsiTheme="minorHAnsi"/>
          <w:bCs/>
          <w:color w:val="070F13" w:themeColor="text1"/>
          <w:sz w:val="24"/>
        </w:rPr>
        <w:t xml:space="preserve">Idle Assets</w:t>
      </w:r>
      <w:r>
        <w:rPr>
          <w:rFonts w:asciiTheme="minorHAnsi" w:hAnsiTheme="minorHAnsi"/>
          <w:bCs/>
          <w:color w:val="070F13" w:themeColor="text1"/>
          <w:sz w:val="24"/>
        </w:rPr>
        <w:tab/>
      </w:r>
      <w:fldSimple w:instr=" PAGEREF _Toc888140762 ">
        <w:r>
          <w:rPr>
            <w:rFonts w:asciiTheme="minorHAnsi" w:hAnsiTheme="minorHAnsi"/>
            <w:bCs/>
            <w:color w:val="070F13" w:themeColor="text1"/>
            <w:sz w:val="24"/>
          </w:rPr>
          <w:t xml:space="preserve">19</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469429659"/>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purpose of these checks are essential for ensuring compliance, maintaining consistency, and safeguarding assets across all branches.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The specific objectives include:</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Identify risks and review efficiency and effectiveness of the internal controls.</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Identify challenges and opportunities for improvement.</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Develop time bound strengthening measures to improve performance and quality.</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00000"/>
          <w:sz w:val="24"/>
          <w:szCs w:val="24"/>
        </w:rPr>
        <w:t xml:space="preserve">Internal Audit and Risk Management’s mandate is to provide assurance over Branch’s governance, soundness of internal control systems, and that risks are adequately assessed and managed to enhance operational effectiveness and efficiency of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As part of the 2025 audit plan, the Internal Audit department conducted a review of the KRCS Kitui and Makueni branches to determine if the controls are operating effectively and in compliance with the Society's policies and objectives.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pPr>
      <w:r>
        <w:rPr>
          <w:rFonts w:ascii="Calibri" w:hAnsi="Calibri"/>
          <w:b w:val="on"/>
          <w:color w:val="070F13" w:themeColor="text1"/>
          <w:sz w:val="24"/>
          <w:szCs w:val="24"/>
        </w:rPr>
        <w:t xml:space="preserve">Scope of the spot check</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Informed by risk assessment</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b w:val="on"/>
          <w:color w:val="070F13" w:themeColor="text1"/>
          <w:sz w:val="24"/>
          <w:szCs w:val="24"/>
        </w:rPr>
        <w:t xml:space="preserve">Areas of Focus</w:t>
      </w:r>
    </w:p>
    <w:p>
      <w:pPr>
        <w:numPr>
          <w:ilvl w:val="0"/>
          <w:numId w:val="13"/>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Governance</w:t>
      </w:r>
    </w:p>
    <w:p>
      <w:pPr>
        <w:numPr>
          <w:ilvl w:val="0"/>
          <w:numId w:val="14"/>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board minutes to confirm that the board meet on a quarterly basis and that subcommittees meet before the main board</w:t>
      </w:r>
    </w:p>
    <w:p>
      <w:pPr>
        <w:numPr>
          <w:ilvl w:val="0"/>
          <w:numId w:val="15"/>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Confirm that the subcommittees have a TOR and are executing their role accordingly</w:t>
      </w:r>
    </w:p>
    <w:p>
      <w:pPr>
        <w:numPr>
          <w:ilvl w:val="0"/>
          <w:numId w:val="16"/>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Confirm that board members declare COI on the agenda before the meeting</w:t>
      </w:r>
    </w:p>
    <w:p>
      <w:pPr>
        <w:numPr>
          <w:ilvl w:val="0"/>
          <w:numId w:val="17"/>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Establish that the board members are not performing management roles</w:t>
      </w:r>
    </w:p>
    <w:p>
      <w:pPr>
        <w:numPr>
          <w:ilvl w:val="0"/>
          <w:numId w:val="18"/>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whether the board is appraising itself on emerging risks and providing the required direction.</w:t>
      </w:r>
    </w:p>
    <w:p>
      <w:pPr>
        <w:numPr>
          <w:ilvl w:val="0"/>
          <w:numId w:val="19"/>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BOCA for branch sustainability.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numPr>
          <w:ilvl w:val="0"/>
          <w:numId w:val="20"/>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Risk Management</w:t>
      </w:r>
    </w:p>
    <w:p>
      <w:pPr>
        <w:numPr>
          <w:ilvl w:val="0"/>
          <w:numId w:val="21"/>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the counties risk registers, availability, update, inclusion of emerging risks</w:t>
      </w:r>
    </w:p>
    <w:p>
      <w:pPr>
        <w:numPr>
          <w:ilvl w:val="0"/>
          <w:numId w:val="2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Check adequacy of treatment plans and adherence to remediation timelines</w:t>
      </w:r>
    </w:p>
    <w:p>
      <w:pPr>
        <w:numPr>
          <w:ilvl w:val="0"/>
          <w:numId w:val="23"/>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Check on reporting of this risks to the designated personnel.</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numPr>
          <w:ilvl w:val="0"/>
          <w:numId w:val="24"/>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Budgetary controls</w:t>
      </w:r>
    </w:p>
    <w:p>
      <w:pPr>
        <w:numPr>
          <w:ilvl w:val="0"/>
          <w:numId w:val="25"/>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Examine how budget performance is monitored and reported</w:t>
      </w:r>
    </w:p>
    <w:p>
      <w:pPr>
        <w:numPr>
          <w:ilvl w:val="0"/>
          <w:numId w:val="26"/>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Investigate the reasons for significant variances to identify potential issues or areas for improvement.</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numPr>
          <w:ilvl w:val="0"/>
          <w:numId w:val="27"/>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Controls around income</w:t>
      </w:r>
    </w:p>
    <w:p>
      <w:pPr>
        <w:numPr>
          <w:ilvl w:val="0"/>
          <w:numId w:val="28"/>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that all receipt books are accounted for and used in a sequential manner.</w:t>
      </w:r>
    </w:p>
    <w:p>
      <w:pPr>
        <w:numPr>
          <w:ilvl w:val="0"/>
          <w:numId w:val="29"/>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Ensure that a register/record is maintained for IGA income at source</w:t>
      </w:r>
    </w:p>
    <w:p>
      <w:pPr>
        <w:numPr>
          <w:ilvl w:val="0"/>
          <w:numId w:val="30"/>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Sampled specific receipts and traced receipts to bankings</w:t>
      </w:r>
    </w:p>
    <w:p>
      <w:pPr>
        <w:numPr>
          <w:ilvl w:val="0"/>
          <w:numId w:val="31"/>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Confirm that the branch has a pay bill number and does not accept cash</w:t>
      </w:r>
    </w:p>
    <w:p>
      <w:pPr>
        <w:numPr>
          <w:ilvl w:val="0"/>
          <w:numId w:val="3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lease management</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numPr>
          <w:ilvl w:val="0"/>
          <w:numId w:val="33"/>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Controls around Cash and bank</w:t>
      </w:r>
    </w:p>
    <w:p>
      <w:pPr>
        <w:numPr>
          <w:ilvl w:val="0"/>
          <w:numId w:val="34"/>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Re-perform last bank reconciliation</w:t>
      </w:r>
    </w:p>
    <w:p>
      <w:pPr>
        <w:numPr>
          <w:ilvl w:val="0"/>
          <w:numId w:val="35"/>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Re-perform last mpesa reconciliation.</w:t>
      </w:r>
    </w:p>
    <w:p>
      <w:pPr>
        <w:numPr>
          <w:ilvl w:val="0"/>
          <w:numId w:val="36"/>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Confirm that there is segregation of duties. Not prepared and approved by the same person.</w:t>
      </w:r>
    </w:p>
    <w:p>
      <w:pPr>
        <w:numPr>
          <w:ilvl w:val="0"/>
          <w:numId w:val="37"/>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Confirm that reconciling items have clear in the subsequent month.</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numPr>
          <w:ilvl w:val="0"/>
          <w:numId w:val="38"/>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Procure to pay</w:t>
      </w:r>
    </w:p>
    <w:p>
      <w:pPr>
        <w:numPr>
          <w:ilvl w:val="0"/>
          <w:numId w:val="39"/>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procurement done in the period scoped</w:t>
      </w:r>
    </w:p>
    <w:p>
      <w:pPr>
        <w:numPr>
          <w:ilvl w:val="0"/>
          <w:numId w:val="40"/>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Visit sample suppliers and establish their existence, engagement process (Non prequalified), Payment method and timeliness, documents review, statements to verify the balances, pricing structure etc.</w:t>
      </w:r>
    </w:p>
    <w:p>
      <w:pPr>
        <w:numPr>
          <w:ilvl w:val="0"/>
          <w:numId w:val="41"/>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three-way matching</w:t>
      </w:r>
    </w:p>
    <w:p>
      <w:pPr>
        <w:numPr>
          <w:ilvl w:val="0"/>
          <w:numId w:val="4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Confirm that the tender committee is functional.</w:t>
      </w:r>
    </w:p>
    <w:p>
      <w:pPr>
        <w:numPr>
          <w:ilvl w:val="0"/>
          <w:numId w:val="43"/>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For all other sampled payments ensure that they are adequately supported.</w:t>
      </w:r>
    </w:p>
    <w:p>
      <w:pPr>
        <w:numPr>
          <w:ilvl w:val="0"/>
          <w:numId w:val="44"/>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controls around petty cash</w:t>
      </w:r>
    </w:p>
    <w:p>
      <w:pPr>
        <w:numPr>
          <w:ilvl w:val="0"/>
          <w:numId w:val="45"/>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Objectivity of the tender process where the branch is submitting bids.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numPr>
          <w:ilvl w:val="0"/>
          <w:numId w:val="46"/>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Asset management</w:t>
      </w:r>
    </w:p>
    <w:p>
      <w:pPr>
        <w:numPr>
          <w:ilvl w:val="0"/>
          <w:numId w:val="47"/>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Follow up on the issues raised in the asset verification report</w:t>
      </w:r>
    </w:p>
    <w:p>
      <w:pPr>
        <w:numPr>
          <w:ilvl w:val="0"/>
          <w:numId w:val="48"/>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Sample assets for verification</w:t>
      </w:r>
    </w:p>
    <w:p>
      <w:pPr>
        <w:numPr>
          <w:ilvl w:val="0"/>
          <w:numId w:val="49"/>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Regular update of asset register</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numPr>
          <w:ilvl w:val="0"/>
          <w:numId w:val="50"/>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Receivables and payables</w:t>
      </w:r>
    </w:p>
    <w:p>
      <w:pPr>
        <w:numPr>
          <w:ilvl w:val="0"/>
          <w:numId w:val="51"/>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Follow up on long outstanding receivable balances</w:t>
      </w:r>
    </w:p>
    <w:p>
      <w:pPr>
        <w:numPr>
          <w:ilvl w:val="0"/>
          <w:numId w:val="5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Follow up on long outstanding payable balances</w:t>
      </w:r>
    </w:p>
    <w:p>
      <w:pPr>
        <w:numPr>
          <w:ilvl w:val="0"/>
          <w:numId w:val="53"/>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Cut-off</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numPr>
          <w:ilvl w:val="0"/>
          <w:numId w:val="54"/>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Human Resource</w:t>
      </w:r>
    </w:p>
    <w:p>
      <w:pPr>
        <w:numPr>
          <w:ilvl w:val="0"/>
          <w:numId w:val="55"/>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staff files for completeness including performance appraisal</w:t>
      </w:r>
    </w:p>
    <w:p>
      <w:pPr>
        <w:numPr>
          <w:ilvl w:val="0"/>
          <w:numId w:val="56"/>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staff contracts and compare amount in the contract to the amount reported</w:t>
      </w:r>
    </w:p>
    <w:p>
      <w:pPr>
        <w:numPr>
          <w:ilvl w:val="0"/>
          <w:numId w:val="57"/>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Recomputed the payroll for accuracy</w:t>
      </w:r>
    </w:p>
    <w:p>
      <w:pPr>
        <w:numPr>
          <w:ilvl w:val="0"/>
          <w:numId w:val="58"/>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Confirm that staff are issues with payslips and P9.</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numPr>
          <w:ilvl w:val="0"/>
          <w:numId w:val="59"/>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Volunteer management</w:t>
      </w:r>
    </w:p>
    <w:p>
      <w:pPr>
        <w:numPr>
          <w:ilvl w:val="0"/>
          <w:numId w:val="60"/>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that there is a register for volunteers</w:t>
      </w:r>
    </w:p>
    <w:p>
      <w:pPr>
        <w:numPr>
          <w:ilvl w:val="0"/>
          <w:numId w:val="61"/>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Confirm that volunteers are given equal opportunities (Trainings/ Volunteering)</w:t>
      </w:r>
    </w:p>
    <w:p>
      <w:pPr>
        <w:numPr>
          <w:ilvl w:val="0"/>
          <w:numId w:val="6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Confirm that volunteers have signed code of conduct and PSEA documents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11. Navision utilization for finance, procurement and warehousing functions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12. Follow up of ML issues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13. Support and oversight from regional office</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29752996"/>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Based on the work done, we conclude that the controls in Kitui and Makueni need improvement. Detailed are findings that require management action</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724985366"/>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Governance</w:t>
            </w:r>
          </w:p>
        </w:tc>
        <w:tc>
          <w:tcPr>
            <w:tcW w:w="2863"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Cash and Bank Management</w:t>
            </w:r>
          </w:p>
        </w:tc>
        <w:tc>
          <w:tcPr>
            <w:tcW w:w="2863"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IGA Activities</w:t>
            </w:r>
          </w:p>
        </w:tc>
        <w:tc>
          <w:tcPr>
            <w:tcW w:w="2863"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Branch Accountant</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Volunteer Engagement</w:t>
            </w:r>
          </w:p>
        </w:tc>
        <w:tc>
          <w:tcPr>
            <w:tcW w:w="2863"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Procurement Management &amp; Navision utilisation</w:t>
            </w:r>
          </w:p>
        </w:tc>
        <w:tc>
          <w:tcPr>
            <w:tcW w:w="2863"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Financial Management </w:t>
            </w:r>
          </w:p>
        </w:tc>
        <w:tc>
          <w:tcPr>
            <w:tcW w:w="2863"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Accountant</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6</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6</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479119592"/>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Inadequate segregation of Duties on Procurement function</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Improvement on secretariat  functions to Governance </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Delayed Change of Bank Signatories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NSD Manager/Coordinator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Ineffective use of VMMS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 on Acting Capacity</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Office Space utilisation</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Staff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Idle Assets </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Low</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412998509"/>
            <w:r>
              <w:rPr/>
              <w:t xml:space="preserve">  Inadequate segregation of Duties on Procurement function</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Procurement Management &amp; Navision utilisation</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CC</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accountant does most of the procurement roles in the system, from raising the PR, evaluating quotes and doing CBA, to issuing LPO.  This is very risky for one person to have complete control over procurement to payment cycles.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Fraud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Lack of accountability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Duplicate or unauthorized payments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Admin Assistant should take over some of the procurement roles, with some approvals by accountant and final approvals by the CC. The admin assistant to be upskilled on procurement functions as a stop gap measure, but the branch should invest in a qualified procurement person or supported by the regional office.</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300705"/>
            <w:r>
              <w:rPr/>
              <w:t xml:space="preserve">  Improvement on secretariat  functions to Governance </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Governance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CC</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Although board committees are in place and agenda is well structured, the reports are not sent to the board prior to meeting.  The TOR's are also not well defined to clarify roles of the committee members. This is against the KRCS board charter.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board is not well constituted from the recent April 2025 elections and the branch and board needs to co-opt more members. 2 members required in Kitui and 3 members Makueni. This needs to be finalised soon.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Development Plans are not featured in the board conversations and board need to be regularly updated on status updates.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CC and board should finalise co-option of the members for proper constitution of the board. </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NSD unit should provide guidance on co-option for standard practices. Clarity to be provided whether members who did not succeed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elections should vie.</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All board committee should have TOR's that clearly define their roles. Committees should meet 2 weeks before and board chair should not be part of the committees.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Although notices and agendas are sent to the board members 2 weeks before the meetings, the board packs that detail matters to be discussed should also be with the notice. This will make it easy to ascertain if members have any conflict on agenda items prior to meeting. </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Although conflict of interest declarations are minuted generally, Board Members should be given forms to sign on declaration of conflict or no conflict and this should be filed during every meeting.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936458885"/>
            <w:r>
              <w:rPr/>
              <w:t xml:space="preserve">  Delayed Change of Bank Signatories</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 and Bank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CC</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NSD Manager/Coordinator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branches elected new members during elections end of April 2025. However, the change of signatories was not timely due to delays in receiving letters from head office NSD unit. Letters for change of signatories were received 13th June 2025 in the case of Kitui, almost 1.5 months after members were elected.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has resulted in stalled operations and lack of petty cash to managed office expenses.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Disruption in operations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Change of signatories should be effected immediately there is a change of guard. Immediately after elections, there should be a change of signatories and not delays 1.5 months later. Change of signatories should have been done early May after elections were completed at the county level.</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1336592090"/>
            <w:r>
              <w:rPr/>
              <w:t xml:space="preserve">  Ineffective use of VMMS</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Volunteer Engagement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CC</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There was low utilization of the VMMS volunteer engagement platforms despite the training sessions done. It was mainly used for requesting for certificates. The branches maintained an offsite excel database of members, which were not on VMMS. Deployment of volunteers was also not done on VMMS, volunteers deploy themselves through the youth chair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Further, for volunteers in Kitui, the code of conduct was not signed due to lack of template. Volunteers are expected to sign code of conduct in line with the volunteer management guidelines, and also enhance their understanding of expectations of their conduct.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Gaps in volunteers and members management</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proper Volunteer management system should be well utilised at branch level for dissemination, deployment, signing of code of conduct, etc</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9" w:name="_Toc971286344"/>
            <w:r>
              <w:rPr/>
              <w:t xml:space="preserve">  County Coordinator on Acting Capacity</w:t>
            </w:r>
            <w:bookmarkEnd w:id="9"/>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observed for Kitui the CC has been acting since October 2024, for a period of 9 months which is against policy.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 Compliance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Instability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Low morale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Reduced accountability</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There should be a subtantial CC in Kitui for continued operations in line with policy.</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0" w:name="_Toc1235328289"/>
            <w:r>
              <w:rPr/>
              <w:t xml:space="preserve">  Office Space utilisation</w:t>
            </w:r>
            <w:bookmarkEnd w:id="10"/>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Financial Management </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Accountant</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Kitui there was aggresive hiring of ofifce space for earning rental income. The store was also planned to be hired to the project staff and there was no board room for meetings.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Makueni, the rental spaces hired, the lease agreemenrs had expired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May lower the productivity level of staff</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There should be adequate office space for utilisation of the branch staff and meeting spaces. </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Lease agreements for rental income should be updated</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1" w:name="_Toc684886424"/>
            <w:r>
              <w:rPr/>
              <w:t xml:space="preserve">  Staff Management</w:t>
            </w:r>
            <w:bookmarkEnd w:id="11"/>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Compensation to staff should be tied to performance evaluations, which were not done for branch staff. Performance evaluations shpould be done bi-annually as per HR policy.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Staff incharge of resource mobilisation were paid a blanket amount of pay regardless of performance in generating income. there should ideally be a retainer pegged to performance towards meeting resource mobilisation targets.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Key roles such as accountant compensation was quite low, below the market standard for qualified accountants. Resource mobilisation efforts should be done to cater for such critical costs.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Staff were not regularly going on leave due to lack of someone who could take over their functions due to lean staff. This creates burnout amongst staff.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Under- performance</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Performance evaluations should be done bi-annually and well documented according to HR policy. This should be the basis for renewals of contracts.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Staff incharge of resource mobilisation should be paid retainer and compensation tied to amounts of income generated</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Critical accounting roles such as accountants who are qualified should be well compensation and factored in the budget for the branch core costs. </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There staff should have a leave plan and go on leave regularly. the regional office should backstop on the critical functions for continuity if need be.</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2" w:name="_Toc888140762"/>
            <w:r>
              <w:rPr/>
              <w:t xml:space="preserve">  Idle Assets </w:t>
            </w:r>
            <w:bookmarkEnd w:id="12"/>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IGA Activities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Accountant</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Low</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greenhouses in Kitui and Makueni are both not utilised. This can generate the branch with some income to cater for its core costs and community activities.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Makueni land utilisation is also low, with no farming activity despite the borehole done for water.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Failure to meet core costs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branches should adequately utilise the assets and use them to generate income.</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Kitui and Makueni branch Spot Check June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19</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5c119d18"/>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3">
    <w:multiLevelType w:val="hybridMultilevel"/>
    <w:tmpl w:val="7293073d"/>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4">
    <w:multiLevelType w:val="hybridMultilevel"/>
    <w:tmpl w:val="57ac34ed"/>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5">
    <w:multiLevelType w:val="hybridMultilevel"/>
    <w:tmpl w:val="0a7f78c5"/>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6">
    <w:multiLevelType w:val="hybridMultilevel"/>
    <w:tmpl w:val="509856a5"/>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7">
    <w:multiLevelType w:val="hybridMultilevel"/>
    <w:tmpl w:val="04d0085b"/>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8">
    <w:multiLevelType w:val="hybridMultilevel"/>
    <w:tmpl w:val="1fb03662"/>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9">
    <w:multiLevelType w:val="hybridMultilevel"/>
    <w:tmpl w:val="bbe44527"/>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0">
    <w:multiLevelType w:val="hybridMultilevel"/>
    <w:tmpl w:val="72d29533"/>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1">
    <w:multiLevelType w:val="hybridMultilevel"/>
    <w:tmpl w:val="5c757ee3"/>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2">
    <w:multiLevelType w:val="hybridMultilevel"/>
    <w:tmpl w:val="cc0be6a3"/>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3">
    <w:multiLevelType w:val="hybridMultilevel"/>
    <w:tmpl w:val="2e8c14be"/>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4">
    <w:multiLevelType w:val="hybridMultilevel"/>
    <w:tmpl w:val="e8c89440"/>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5">
    <w:multiLevelType w:val="hybridMultilevel"/>
    <w:tmpl w:val="01404e83"/>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6">
    <w:multiLevelType w:val="hybridMultilevel"/>
    <w:tmpl w:val="39e9755b"/>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7">
    <w:multiLevelType w:val="hybridMultilevel"/>
    <w:tmpl w:val="f14d23fa"/>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8">
    <w:multiLevelType w:val="hybridMultilevel"/>
    <w:tmpl w:val="27417f0b"/>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9">
    <w:multiLevelType w:val="hybridMultilevel"/>
    <w:tmpl w:val="d1fd968e"/>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30">
    <w:multiLevelType w:val="hybridMultilevel"/>
    <w:tmpl w:val="4beff078"/>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31">
    <w:multiLevelType w:val="hybridMultilevel"/>
    <w:tmpl w:val="dd63812f"/>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32">
    <w:multiLevelType w:val="hybridMultilevel"/>
    <w:tmpl w:val="267a7f55"/>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33">
    <w:multiLevelType w:val="hybridMultilevel"/>
    <w:tmpl w:val="7651027a"/>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34">
    <w:multiLevelType w:val="hybridMultilevel"/>
    <w:tmpl w:val="83bf48ae"/>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35">
    <w:multiLevelType w:val="hybridMultilevel"/>
    <w:tmpl w:val="927be516"/>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36">
    <w:multiLevelType w:val="hybridMultilevel"/>
    <w:tmpl w:val="df0e89e3"/>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37">
    <w:multiLevelType w:val="hybridMultilevel"/>
    <w:tmpl w:val="57c4aa60"/>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38">
    <w:multiLevelType w:val="hybridMultilevel"/>
    <w:tmpl w:val="f83865f3"/>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39">
    <w:multiLevelType w:val="hybridMultilevel"/>
    <w:tmpl w:val="fb111b49"/>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40">
    <w:multiLevelType w:val="hybridMultilevel"/>
    <w:tmpl w:val="6a5b3afe"/>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41">
    <w:multiLevelType w:val="hybridMultilevel"/>
    <w:tmpl w:val="8bc4837f"/>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42">
    <w:multiLevelType w:val="hybridMultilevel"/>
    <w:tmpl w:val="50034c04"/>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43">
    <w:multiLevelType w:val="hybridMultilevel"/>
    <w:tmpl w:val="faddfaca"/>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44">
    <w:multiLevelType w:val="hybridMultilevel"/>
    <w:tmpl w:val="32f4c2f2"/>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45">
    <w:multiLevelType w:val="hybridMultilevel"/>
    <w:tmpl w:val="ea6760b8"/>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46">
    <w:multiLevelType w:val="hybridMultilevel"/>
    <w:tmpl w:val="24054edf"/>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47">
    <w:multiLevelType w:val="hybridMultilevel"/>
    <w:tmpl w:val="1f65ee7d"/>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48">
    <w:multiLevelType w:val="hybridMultilevel"/>
    <w:tmpl w:val="e1fae292"/>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49">
    <w:multiLevelType w:val="hybridMultilevel"/>
    <w:tmpl w:val="68278313"/>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50">
    <w:multiLevelType w:val="hybridMultilevel"/>
    <w:tmpl w:val="31b95747"/>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51">
    <w:multiLevelType w:val="hybridMultilevel"/>
    <w:tmpl w:val="68d60da9"/>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52">
    <w:multiLevelType w:val="hybridMultilevel"/>
    <w:tmpl w:val="be60f7b2"/>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53">
    <w:multiLevelType w:val="hybridMultilevel"/>
    <w:tmpl w:val="aaecba3a"/>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54">
    <w:multiLevelType w:val="hybridMultilevel"/>
    <w:tmpl w:val="119c3744"/>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55">
    <w:multiLevelType w:val="hybridMultilevel"/>
    <w:tmpl w:val="07c0c47b"/>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56">
    <w:multiLevelType w:val="hybridMultilevel"/>
    <w:tmpl w:val="037b19ac"/>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57">
    <w:multiLevelType w:val="hybridMultilevel"/>
    <w:tmpl w:val="bd0a14f9"/>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58">
    <w:multiLevelType w:val="hybridMultilevel"/>
    <w:tmpl w:val="ba1f0ea0"/>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59">
    <w:multiLevelType w:val="hybridMultilevel"/>
    <w:tmpl w:val="3a760c82"/>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60">
    <w:multiLevelType w:val="hybridMultilevel"/>
    <w:tmpl w:val="4c6245dc"/>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61">
    <w:multiLevelType w:val="hybridMultilevel"/>
    <w:tmpl w:val="b31121c4"/>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62">
    <w:multiLevelType w:val="hybridMultilevel"/>
    <w:tmpl w:val="f3d1bf6a"/>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3"/>
              <c:pt idx="0">
                <c:v>Medium</c:v>
              </c:pt>
              <c:pt idx="1">
                <c:v>High</c:v>
              </c:pt>
              <c:pt idx="2">
                <c:v>Low</c:v>
              </c:pt>
            </c:strLit>
          </c:cat>
          <c:val>
            <c:numLit>
              <c:formatCode>General</c:formatCode>
              <c:ptCount val="3"/>
              <c:pt idx="0">
                <c:v>6</c:v>
              </c:pt>
              <c:pt idx="1">
                <c:v>1</c:v>
              </c:pt>
              <c:pt idx="2">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4"/>
              <c:pt idx="0">
                <c:v>CC</c:v>
              </c:pt>
              <c:pt idx="1">
                <c:v>NSD Manager/Coordinator</c:v>
              </c:pt>
              <c:pt idx="2">
                <c:v>HOR</c:v>
              </c:pt>
              <c:pt idx="3">
                <c:v>County Coordinator</c:v>
              </c:pt>
            </c:strLit>
          </c:cat>
          <c:val>
            <c:numLit>
              <c:formatCode>General</c:formatCode>
              <c:ptCount val="4"/>
              <c:pt idx="0">
                <c:v>5</c:v>
              </c:pt>
              <c:pt idx="1">
                <c:v>1</c:v>
              </c:pt>
              <c:pt idx="2">
                <c:v>1</c:v>
              </c:pt>
              <c:pt idx="3">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19</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2026-04-02T08:48:00Z</dcterms:created>
  <dcterms:modified xsi:type="dcterms:W3CDTF">2026-04-02T08:48:00Z</dcterms:modified>
</cp:coreProperties>
</file>