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847974955"/>
            <w:r>
              <w:rPr>
                <w:color w:val="FFFFFF" w:themeColor="background1"/>
                <w:sz w:val="90"/>
                <w:szCs w:val="90"/>
              </w:rPr>
              <w:t xml:space="preserve">Machakos, Kajiado and Makueni branches spot checks October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November  5,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November  7,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661681032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89000838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578364436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470091311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F3 Gaps in  Power of Humanity Walk processes</w:t>
      </w:r>
      <w:r>
        <w:rPr>
          <w:rFonts w:asciiTheme="minorHAnsi" w:hAnsiTheme="minorHAnsi"/>
          <w:bCs/>
          <w:color w:val="070F13" w:themeColor="text1"/>
          <w:sz w:val="24"/>
        </w:rPr>
        <w:tab/>
      </w:r>
      <w:fldSimple w:instr=" PAGEREF _Toc609572125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F4 Gaps in bank and cash management</w:t>
      </w:r>
      <w:r>
        <w:rPr>
          <w:rFonts w:asciiTheme="minorHAnsi" w:hAnsiTheme="minorHAnsi"/>
          <w:bCs/>
          <w:color w:val="070F13" w:themeColor="text1"/>
          <w:sz w:val="24"/>
        </w:rPr>
        <w:tab/>
      </w:r>
      <w:fldSimple w:instr=" PAGEREF _Toc832966221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F1 Gaps in income management</w:t>
      </w:r>
      <w:r>
        <w:rPr>
          <w:rFonts w:asciiTheme="minorHAnsi" w:hAnsiTheme="minorHAnsi"/>
          <w:bCs/>
          <w:color w:val="070F13" w:themeColor="text1"/>
          <w:sz w:val="24"/>
        </w:rPr>
        <w:tab/>
      </w:r>
      <w:fldSimple w:instr=" PAGEREF _Toc128672671 ">
        <w:r>
          <w:rPr>
            <w:rFonts w:asciiTheme="minorHAnsi" w:hAnsiTheme="minorHAnsi"/>
            <w:bCs/>
            <w:color w:val="070F13" w:themeColor="text1"/>
            <w:sz w:val="24"/>
          </w:rPr>
          <w:t xml:space="preserve">12</w:t>
        </w:r>
      </w:fldSimple>
    </w:p>
    <w:p>
      <w:pPr>
        <w:pStyle w:val="TOC1"/>
        <w:spacing w:before="120"/>
        <w:rPr/>
      </w:pPr>
      <w:r>
        <w:rPr>
          <w:rFonts w:asciiTheme="minorHAnsi" w:hAnsiTheme="minorHAnsi"/>
          <w:bCs/>
          <w:color w:val="070F13" w:themeColor="text1"/>
          <w:sz w:val="24"/>
        </w:rPr>
        <w:t xml:space="preserve">F2 Gaps in the procurement process</w:t>
      </w:r>
      <w:r>
        <w:rPr>
          <w:rFonts w:asciiTheme="minorHAnsi" w:hAnsiTheme="minorHAnsi"/>
          <w:bCs/>
          <w:color w:val="070F13" w:themeColor="text1"/>
          <w:sz w:val="24"/>
        </w:rPr>
        <w:tab/>
      </w:r>
      <w:fldSimple w:instr=" PAGEREF _Toc807990222 ">
        <w:r>
          <w:rPr>
            <w:rFonts w:asciiTheme="minorHAnsi" w:hAnsiTheme="minorHAnsi"/>
            <w:bCs/>
            <w:color w:val="070F13" w:themeColor="text1"/>
            <w:sz w:val="24"/>
          </w:rPr>
          <w:t xml:space="preserve">16</w:t>
        </w:r>
      </w:fldSimple>
    </w:p>
    <w:p>
      <w:pPr>
        <w:pStyle w:val="TOC1"/>
        <w:spacing w:before="120"/>
        <w:rPr/>
      </w:pPr>
      <w:r>
        <w:rPr>
          <w:rFonts w:asciiTheme="minorHAnsi" w:hAnsiTheme="minorHAnsi"/>
          <w:bCs/>
          <w:color w:val="070F13" w:themeColor="text1"/>
          <w:sz w:val="24"/>
        </w:rPr>
        <w:t xml:space="preserve">F5 Gaps in Management of payables and receivables</w:t>
      </w:r>
      <w:r>
        <w:rPr>
          <w:rFonts w:asciiTheme="minorHAnsi" w:hAnsiTheme="minorHAnsi"/>
          <w:bCs/>
          <w:color w:val="070F13" w:themeColor="text1"/>
          <w:sz w:val="24"/>
        </w:rPr>
        <w:tab/>
      </w:r>
      <w:fldSimple w:instr=" PAGEREF _Toc437615623 ">
        <w:r>
          <w:rPr>
            <w:rFonts w:asciiTheme="minorHAnsi" w:hAnsiTheme="minorHAnsi"/>
            <w:bCs/>
            <w:color w:val="070F13" w:themeColor="text1"/>
            <w:sz w:val="24"/>
          </w:rPr>
          <w:t xml:space="preserve">18</w:t>
        </w:r>
      </w:fldSimple>
    </w:p>
    <w:p>
      <w:pPr>
        <w:pStyle w:val="TOC1"/>
        <w:spacing w:before="120"/>
        <w:rPr/>
      </w:pPr>
      <w:r>
        <w:rPr>
          <w:rFonts w:asciiTheme="minorHAnsi" w:hAnsiTheme="minorHAnsi"/>
          <w:bCs/>
          <w:color w:val="070F13" w:themeColor="text1"/>
          <w:sz w:val="24"/>
        </w:rPr>
        <w:t xml:space="preserve">F6 Gaps in Asset Management</w:t>
      </w:r>
      <w:r>
        <w:rPr>
          <w:rFonts w:asciiTheme="minorHAnsi" w:hAnsiTheme="minorHAnsi"/>
          <w:bCs/>
          <w:color w:val="070F13" w:themeColor="text1"/>
          <w:sz w:val="24"/>
        </w:rPr>
        <w:tab/>
      </w:r>
      <w:fldSimple w:instr=" PAGEREF _Toc115553674 ">
        <w:r>
          <w:rPr>
            <w:rFonts w:asciiTheme="minorHAnsi" w:hAnsiTheme="minorHAnsi"/>
            <w:bCs/>
            <w:color w:val="070F13" w:themeColor="text1"/>
            <w:sz w:val="24"/>
          </w:rPr>
          <w:t xml:space="preserve">24</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661681032"/>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main purpose of this audit is to review;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1.    Governance, risk management, financial management, income &amp; expenditure, procurement, human resource, volunteer management and internal controls, Branch Development Plan (BDP) and to identify control gaps.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2.    To identify opportunities for improvement.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 part of the 2025 audit plan, the Internal Audit department conducted a review of Machakos, Kajiado and Makueni branches to determine if the controls are operating effectively and in compliance with the Society's policies and objectives.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review was designed to cover governance, risk management and internal control processes for the period July 2025 to October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89000838"/>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Following our review, we conclude that the control environment within the KRCS Lower Eastern Region branches (Machakos, Kajiado and Makueni) </w:t>
      </w:r>
      <w:r>
        <w:rPr>
          <w:rFonts w:ascii="Calibri" w:hAnsi="Calibri"/>
          <w:b w:val="on"/>
          <w:color w:val="070F13" w:themeColor="text1"/>
          <w:sz w:val="24"/>
          <w:szCs w:val="24"/>
        </w:rPr>
        <w:t xml:space="preserve">NEEDS IMPROVEMENT</w:t>
      </w:r>
      <w:r>
        <w:rPr>
          <w:rFonts w:ascii="Calibri" w:hAnsi="Calibri"/>
          <w:b w:val="off"/>
          <w:color w:val="070F13" w:themeColor="text1"/>
          <w:sz w:val="24"/>
          <w:szCs w:val="24"/>
        </w:rPr>
        <w:t xml:space="preserve">. Several control gaps were identified across key operational and financial processes, as highlighted in this report. These weaknesses require timely management action to strengthen internal controls, enhance accountability, and improve overall operational efficiency.</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Notably</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Kajiado branch account received an eroneous deposit from GOK ASAL of Kshs 400,000,000on July 11, 2025 meant to be deposited to the KRCS HQ account. This funds were later transferred from the branch account to HQ account.</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usage of Navision system in Kajiado branch is yet to commence . At the time of audit procurements were being done from the regional office. However staff had been trained and were awaiting completion of the system upgrade process to resolve this matter.</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As at October 30, 2025 Kajiado Branch had a savings ratio of 31%</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578364436"/>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Bank and cash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controls around procurement processs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controls around income and expenditure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Accountabilty over power of humanity walk money</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receivables and payables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Assess the effectiveness of governance practices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Asset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470091311"/>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Power of Humanity Walk processes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bank and cash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income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the procurement process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RSCMO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Management of payables and receivables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Asset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609572125"/>
            <w:r>
              <w:rPr/>
              <w:t xml:space="preserve"> F3 Gaps in  Power of Humanity Walk processes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Accountabilty over power of humanity walk money</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12,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audit, we reviewed the processes surrounding the Humanity Power Walk (PHW) at Machakos and Makueni branches to assess compliance, accountability, and financial management. We noted that there were good practices that had already been implemented which included:-</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forms issued to schools were all serialized, allowing for basic tracking.</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Meetings  between the patrons and branch staff were held prior to the issuance of donation forms to ensure common understanding among school staff and branch teams.</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Both branches maintained an Excel tracker of donation forms issued to schools, providing a level of visibility into the collection process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however noted the following gaps that require to be addressed:-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Rampant cash handling and weak acknowledgment controls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Staff and volunteers often received cash payments directly from schools without signing official acknowledgement forms. This practice created a significant accountability risk, as there was no verifiable evidence of cash receipt at the branch level.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expense management: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Expenses were high relative to the income collected, indicating limited control over expenditure. The table below summarizes the income and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expenditure positions for the two branches.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1385"/>
              <w:gridCol w:w="2837"/>
              <w:gridCol w:w="1931"/>
              <w:gridCol w:w="2476"/>
              <w:gridCol w:w="304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PHW Income 2025 (Kshs)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Expenses (Kshs)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Surplus/Deficit (Kshs)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of Expenses over Income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Machakos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606,051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405,374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200,677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Makueni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480,363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237,863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Absence of end-to-end reconciliation of funds collected: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At Machakos and Makueni branches, tracking of Humanity Power Walk (PHW) donations tracking was only done at the point of  issuance of proforma cards to schools. There was no subsequent reconciliation linking the proforma cards issued to the actual cash collected and banked. This lack of end-to-end tracking creates a gap in accountability, as it is not possible to verify whether all funds expected from issued forms were fully collected and deposited.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guidance and supervision by the regional office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leakage/loss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Regional Office should provide clear guidance on expense management, including partner sponsorships and overall coordination of the Humanity Power Walk, to ensure uniformity across branches and strengthen the control environment.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832966221"/>
            <w:r>
              <w:rPr/>
              <w:t xml:space="preserve"> F4 Gaps in bank and cash management</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Bank and cash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 in change of bank signatories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Following the branch board elections held at the end of April 2025, new members were elected to the Machakos Branch Board. However, our review noted that the bank signatories had not been updated to align with the current board composition. The signatory mandate still includes the previous Vice Chairman, who was not re-elected, while the newly appointed Branch Treasurer had not yet been added as a signatory.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delay in updating the bank signatories may result to operational inefficiencies, including delays in processing and approving branch financial transactions. This may, in turn, slow down the implementation of planned activities and hinder the smooth execution of branch operations.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Failure to prepare bank reconciliation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8.5 of the Finance Manual requires that all KRCS bank accounts be reconciled with the cash book on a monthly basis, and the reconciliations finalized within fifteen (15) days of the subsequent month.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bank reconciliations for the period July to September 2025 for Machakos and Makueni branches revealed that Machakos Branch did not prepare bank reconciliations for the month of  August and September 2025. This indicates non-adherence to the prescribed timelines for reconciliation and approval of bank records, thereby weakening financial monitoring and timely identification of variances between bank and book balances.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Inaccurate bank reconciliation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An accurate bank reconciliation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that ensures bank account balance matches the cash book balances is necessary to ensure cash and bank balances are not misstated.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However, from the review of  bank reconciliations for Kajiado branch, we noted that statement ending balances and cash book balances were not reconciled leading to misstated cash and bank balances as summarized below;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1088"/>
              <w:gridCol w:w="2485"/>
              <w:gridCol w:w="2687"/>
              <w:gridCol w:w="169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ending bal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Adjusted Statement bal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Cashbook bal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25-Aug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629,973.15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1,070,536.15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484,536.15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Further, from the analysis of all the bank reconciliations prepared by the branch, we noted that, bank rec statement number 37 to 39 in 2021 were missing in the system and the above, misstatements in cash book balances were being caused by ledger entries from bank reconciliation statement 37 in 2021 whose bank reconciliation is missing in the system. Details of statement 37 ledgers is as shown below; </w:t>
            </w:r>
          </w:p>
          <w:tbl>
            <w:tblPr>
              <w:tblW w:w="131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21"/>
              <w:gridCol w:w="1443"/>
              <w:gridCol w:w="1482"/>
              <w:gridCol w:w="1850"/>
              <w:gridCol w:w="1193"/>
              <w:gridCol w:w="769"/>
              <w:gridCol w:w="881"/>
              <w:gridCol w:w="1016"/>
              <w:gridCol w:w="1498"/>
              <w:gridCol w:w="1447"/>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Posting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Document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Account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Paid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Open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Entry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Status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No.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12/16/2021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RCPT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BNKLE011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Membership - Rachael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57881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Closed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12/16/2021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RCPT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BNKLE011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inv kjd-005-2021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57891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Closed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12/21/2021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RCPT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BNKLE011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Membership - Mungai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57883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Closed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12/23/2021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RCPT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BNKLE011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Pyt of Inv KJD 004,003,006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472,500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57890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Closed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System challenges.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disagreements among board members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Lack of adequate follow up on resolution of inaccurte bank reconciliations.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undetected errors, fraud, or manipulation of financial records, compromising the integrity and reliability of bank reconciliations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RFO should ensure that bank reconciliations are timely prepared and approved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28672671"/>
            <w:r>
              <w:rPr/>
              <w:t xml:space="preserve"> F1 Gaps in income management</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income and expenditure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12,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1}Non-Compliance to cash handing procedure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Despite the existence of an operational paybill system intended to facilitate all branch collections, it was noted that branch staff continue to receive cash payments from clients. A review of the branch M-Pesa statements revealed instances where staff deposited cash directly into the branch account, indicating deviation from the approved cashless payment process.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Such practices increase the risk of funds being unaccounted for, misappropriated, or delayed in banking, thereby compromising the integrity of financial controls and accountability mechanisms.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 extract of the analysis highlighting the observed instances is summarized below: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1385"/>
              <w:gridCol w:w="1619"/>
              <w:gridCol w:w="1432"/>
              <w:gridCol w:w="1662"/>
              <w:gridCol w:w="118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Banking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Machakos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27/03/2025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2221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2223 </w:t>
                  </w: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5,500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Inaccurate receipt references in the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review established that several receipts were posted in the accounting system using incorrect receipt reference numbers, contrary to the organization’s Financial Management Policy, which requires accurate and timely recording of all receipts to ensure integrity and reliability of financial reports.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3375" w:type="dxa"/>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Details as per the receipt book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3375" w:type="dxa"/>
                  <w:gridSpan w:val="3"/>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Details as per Navision system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Receipt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16/05/2025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MTTC-PHW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1746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Lukenya girls-PHW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1746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21,100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16/05/2025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Katumani primary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1745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6,200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MTTC-PHW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1745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4,400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1/04/2025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Paul Mutwia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2233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Michael Nzuki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2233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1/04/2025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Florence Maila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2230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Mary Mulinge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2230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3}Unbanked Humanity Power Walk Proceeds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income generated from the Humanity Power Walk at the Makueni Branch revealed that a cash amount of Kshs. 9,735, collected and handed over by the Headteacher of Muthini Primary School on 19th May 2025, was not banked as required.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Further review noted that the cash handover document lacked critical details  it only bore the school stamp, total amount handed over, and the headteacher’s signature, but omitted the name and signature of the staff member who received the funds. This omission hinders accountability and audit trail verification, exposing the organization to risks of fund misappropriation and weak internal control over cash handling.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surplus retention directive for development purposes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National Executive Committee issued a directive requiring all branches to retain 25% of their unrestricted fund surplus for development purposes. However, audit review for the period January 2025 to October 2025 revealed that Makueni branch had not generated adequate surpluses to meet this requirement as detailed below: -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Makueni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Income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3,253,353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Expense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3,026,636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226,717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Retention to total income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 adherence to policy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oversight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audit trail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Misappropriation of funds.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Adherence to policy regarding cash management</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RFO should conduct and document monthly reconciliations between the bank ledger, physical receipts, and Navision records.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807990222"/>
            <w:r>
              <w:rPr/>
              <w:t xml:space="preserve"> F2 Gaps in the procurement process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controls around procurement processs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RSCMO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12,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Breach of Policy Through Brokerage of Third-Party Services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4.6 of the </w:t>
            </w: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Avoiding Trading Entities of Related Party Policy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prohibits branches from purchasing goods or services for resale, requiring that branches only offer goods and services produced internally. Makueni Branch received Kshs. 240,000 from ADS Clients for Workplace and Occupational Safety and Health (OSH) training on 30th June and 1st July 2025. As the branch lacked capacity to deliver the training, it subcontracted Safement Consultants Ltd at a cost of Kshs. 80,000 and retained the balance. This arrangement amounted to an unauthorized brokerage activity, whereby the branch acted as an intermediary between the clients and the external service provider.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Understanding of related party and conflict of interest policies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procurement policy</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Management should prohibit internal brokering and resale of procured services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437615623"/>
            <w:r>
              <w:rPr/>
              <w:t xml:space="preserve"> F5 Gaps in Management of payables and receivables</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receivables and payables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Gaps in Management of payables and receivables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1.Long outstanding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 requires that outstanding payables be regularly reviewed against the organization’s accounts payable policies, vendor agreements, and payment terms to ensure timely settlement and effective financial management. From our review of branch payables, we noted that Machakos, Makueni and  Kajiado Branch had long outstanding payables exceeding 121 days, as summarized below. This calls for prompt management action to address the delays and mitigate potential financial and operational risks. </w:t>
            </w:r>
          </w:p>
          <w:tbl>
            <w:tblPr>
              <w:tblW w:w="135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910"/>
              <w:gridCol w:w="2211"/>
              <w:gridCol w:w="1953"/>
              <w:gridCol w:w="1802"/>
              <w:gridCol w:w="1802"/>
              <w:gridCol w:w="1882"/>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Machakos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121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91-120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61-90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Lower eastern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(4,210,944)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{4210944}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Medicus mundi Italy - Kenya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Santa Isabella cafe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(4,510,944)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{4,558,944}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35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809"/>
              <w:gridCol w:w="2524"/>
              <w:gridCol w:w="2229"/>
              <w:gridCol w:w="2057"/>
              <w:gridCol w:w="2057"/>
              <w:gridCol w:w="1884"/>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Makueni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121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91-120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61-90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Ann Ndunda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Makueni county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Panafricare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(145,000)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21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788"/>
              <w:gridCol w:w="1860"/>
              <w:gridCol w:w="1643"/>
              <w:gridCol w:w="1515"/>
              <w:gridCol w:w="1516"/>
              <w:gridCol w:w="1390"/>
              <w:gridCol w:w="1388"/>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Kajiado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121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91-120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61-90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0-30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Vendor Name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Jun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Jul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Aug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Sep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Oct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EMAIYAN CHILL SPOT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(2,640)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EPLUS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(90,945)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33,745 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(79,200)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Machakos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Posta Kenya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(57,581)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(57,581)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Red Court Hotel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(7,819)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(7,819)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SHEM TIMOTHY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(171,985)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33,745 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(160,240)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2.Long Outstanding Receivables and Related Party Balances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Effective management of receivables and related party accounts is essential for maintaining accurate financial records, ensuring liquidity, and promoting accountability across branches. Best practice and KRCS accounting procedures require regular reconciliation of all receivable and intercompany accounts, with prompt clearance or adequate justification of outstanding balances.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Our review revealed that Machakos, Makueni and Kajiado branches had significant long-outstanding receivable balances that remained unreconciled and unsettled. Makueni Branch had outstanding receivables totaling Kshs. 241,495, while Machakos Branch had Kshs. 474,935 and Kajiado branch had kshs:351,822.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Makueni branch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121 days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91-120 days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61-90 days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31-60 days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gov of Makueni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158,363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158,363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government Makueni gender &amp; social services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Department of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health Makueni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First aid income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31,632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31,632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Panafricare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Unpaid merchandize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241,495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241,495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2660" w:type="dxa"/>
              <w:tblBorders>
                <w:top w:val="nil" w:sz="0" w:color="000000"/>
                <w:left w:val="nil" w:sz="0" w:color="000000"/>
                <w:bottom w:val="nil" w:sz="0" w:color="000000"/>
                <w:right w:val="nil" w:sz="0" w:color="000000"/>
                <w:insideH w:val="nil" w:sz="0" w:color="000000"/>
                <w:insideV w:val="nil" w:sz="0" w:color="000000"/>
              </w:tblBorders>
              <w:tblLayout w:type="fixed"/>
            </w:tblPr>
            <w:tblGrid>
              <w:gridCol w:w="3210"/>
              <w:gridCol w:w="1742"/>
              <w:gridCol w:w="1742"/>
              <w:gridCol w:w="1741"/>
              <w:gridCol w:w="1741"/>
              <w:gridCol w:w="2484"/>
            </w:tblGrid>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Machakos branch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121 days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91-120 days </w:t>
                  </w: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61-90 days </w:t>
                  </w: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DM Department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DOT fees unpaid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500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DPR527KRCS Early Action Protocal Project-IFRC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256,305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256,305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DPR588Makueni IFSL - BRC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63525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63,525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First Aid Income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HSS582KRCS Climate &amp; Resilience Health Project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130,515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130,515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ICHA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46,500 </w:t>
                  </w: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46,500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KDS465V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233,310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172,745 </w:t>
                  </w: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35,270 </w:t>
                  </w: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58,485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499,810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KPLC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740,520 </w:t>
                  </w: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740,520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68,380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68,380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Urban Resilience Project DPR489 DN1040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180,000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180,000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Membership unpaid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1,500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Pioneer General Insurance Ltd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62,781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62,781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Santa Issabella Cafe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62,800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62,800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Unpaid Merchandize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500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Vyulia Girls High Scool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35,000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35,000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Youth Camp Unpaid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14,000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14,000 </w:t>
                  </w:r>
                </w:p>
              </w:tc>
            </w:tr>
            <w:tr>
              <w:trPr/>
              <w:tc>
                <w:tcPr>
                  <w:tcW w:w="3210"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Totals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302,190 </w:t>
                  </w:r>
                </w:p>
              </w:tc>
              <w:tc>
                <w:tcPr>
                  <w:tcW w:w="1742"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172745 </w:t>
                  </w: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741"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896,411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2,193,636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963"/>
              <w:gridCol w:w="1953"/>
              <w:gridCol w:w="1726"/>
              <w:gridCol w:w="1592"/>
              <w:gridCol w:w="1592"/>
              <w:gridCol w:w="1459"/>
              <w:gridCol w:w="1899"/>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Kajiado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121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91-120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61-90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31-60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0-30 days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Customer Name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Jun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Jul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Aug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Sep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Oct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Amount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CHRISTINE NZILANI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Dawamu School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(94,500)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First Aid 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KDL 327J- Kajiado Branch Vehicle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336,105 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336,105 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308,822 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100,139 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408,961 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351,822 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(94,500)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100,139 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465,605 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823,066 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3F3D3C"/>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Liquidity Constraints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3F3D3C"/>
                <w:spacing w:val="0"/>
                <w:w w:val="100"/>
                <w:kern w:val="0"/>
                <w:position w:val="0"/>
                <w:sz w:val="24"/>
                <w:szCs w:val="24"/>
                <w:vertAlign w:val="baseline"/>
              </w:rPr>
              <w:t xml:space="preserve">Inadequate follow-up on recoveries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Disruption of branch operations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Pressure on Supplier Relationships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Write off of irrecoverable related party balances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Adequate follow up on recovering related party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115553674"/>
            <w:r>
              <w:rPr/>
              <w:t xml:space="preserve"> F6 Gaps in Asset Management</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Assets with unassigned costs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7.4 of the finance manual states that property and equipment are capitalized and recognized at cost or valuation. Further, IAS 16 – Property, Plant and Equipment states that: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Donated (non-monetary) assets should be measured at fair value at the date of donation and recognized accordingly in the books of account.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recorded at zero or no value result in incomplete financial disclosures and misstatement of organizational resources.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identified several assets recorded in the fixed asset register without any assigned monetary value. These include, but are not limited to, a ladder, handwashing equipment, a container, cabinets, a printer, and signage.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Obsolete assets in the asset register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accordance with IAS 16 – Property, Plant and Equipment: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that are no longer in use and provide no future economic benefits should be removed from active records through impairment, write-off, or disposal, depending on their condition and value.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Regular asset reviews and physical verification should be conducted to ensure the asset register reflects the current status of all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our review we  that the branch had several impaired items. These include: wooden pallets, an office chair (high-back, swivel, with arms), a water dispenser (Ashton Meyers), a printer (HP Color LaserJet Pro MFP M277fdw), and a CPU (HP 280G1 Micro Tower Business PC).</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Gaps in update of the asset register following physical verification exercises.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 Lack of staff capacity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Increased risk of asset misclassification, misstatement, or loss.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Timely update and reconcilliation of the fixed asset register</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Machakos, Kajiado and Makueni branches spot checks October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25</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71b3fa54"/>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3</c:v>
              </c:pt>
              <c:pt idx="1">
                <c:v>3</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RSCMO</c:v>
              </c:pt>
              <c:pt idx="1">
                <c:v>RFO</c:v>
              </c:pt>
              <c:pt idx="2">
                <c:v>HOR/RFO</c:v>
              </c:pt>
            </c:strLit>
          </c:cat>
          <c:val>
            <c:numLit>
              <c:formatCode>General</c:formatCode>
              <c:ptCount val="3"/>
              <c:pt idx="0">
                <c:v>1</c:v>
              </c:pt>
              <c:pt idx="1">
                <c:v>4</c:v>
              </c:pt>
              <c:pt idx="2">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25</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2026-04-02T08:24:00Z</dcterms:created>
  <dcterms:modified xsi:type="dcterms:W3CDTF">2026-04-02T08:24:00Z</dcterms:modified>
</cp:coreProperties>
</file>