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369749537"/>
            <w:r>
              <w:rPr>
                <w:color w:val="FFFFFF" w:themeColor="background1"/>
                <w:sz w:val="90"/>
                <w:szCs w:val="90"/>
              </w:rPr>
              <w:t xml:space="preserve">Upper Eastern Region Round 2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20,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November 14,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777323257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803103925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973877550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787178817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Enhance resource mobilisation strategies</w:t>
      </w:r>
      <w:r>
        <w:rPr>
          <w:rFonts w:asciiTheme="minorHAnsi" w:hAnsiTheme="minorHAnsi"/>
          <w:bCs/>
          <w:color w:val="070F13" w:themeColor="text1"/>
          <w:sz w:val="24"/>
        </w:rPr>
        <w:tab/>
      </w:r>
      <w:fldSimple w:instr=" PAGEREF _Toc1710701983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Improve membership management</w:t>
      </w:r>
      <w:r>
        <w:rPr>
          <w:rFonts w:asciiTheme="minorHAnsi" w:hAnsiTheme="minorHAnsi"/>
          <w:bCs/>
          <w:color w:val="070F13" w:themeColor="text1"/>
          <w:sz w:val="24"/>
        </w:rPr>
        <w:tab/>
      </w:r>
      <w:fldSimple w:instr=" PAGEREF _Toc38217710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HR Gaps</w:t>
      </w:r>
      <w:r>
        <w:rPr>
          <w:rFonts w:asciiTheme="minorHAnsi" w:hAnsiTheme="minorHAnsi"/>
          <w:bCs/>
          <w:color w:val="070F13" w:themeColor="text1"/>
          <w:sz w:val="24"/>
        </w:rPr>
        <w:tab/>
      </w:r>
      <w:fldSimple w:instr=" PAGEREF _Toc1390960151 ">
        <w:r>
          <w:rPr>
            <w:rFonts w:asciiTheme="minorHAnsi" w:hAnsiTheme="minorHAnsi"/>
            <w:bCs/>
            <w:color w:val="070F13" w:themeColor="text1"/>
            <w:sz w:val="24"/>
          </w:rPr>
          <w:t xml:space="preserve">11</w:t>
        </w:r>
      </w:fldSimple>
    </w:p>
    <w:p>
      <w:pPr>
        <w:pStyle w:val="TOC1"/>
        <w:spacing w:before="120"/>
        <w:rPr/>
      </w:pPr>
      <w:r>
        <w:rPr>
          <w:rFonts w:asciiTheme="minorHAnsi" w:hAnsiTheme="minorHAnsi"/>
          <w:bCs/>
          <w:color w:val="070F13" w:themeColor="text1"/>
          <w:sz w:val="24"/>
        </w:rPr>
        <w:t xml:space="preserve">Payables management</w:t>
      </w:r>
      <w:r>
        <w:rPr>
          <w:rFonts w:asciiTheme="minorHAnsi" w:hAnsiTheme="minorHAnsi"/>
          <w:bCs/>
          <w:color w:val="070F13" w:themeColor="text1"/>
          <w:sz w:val="24"/>
        </w:rPr>
        <w:tab/>
      </w:r>
      <w:fldSimple w:instr=" PAGEREF _Toc162734182 ">
        <w:r>
          <w:rPr>
            <w:rFonts w:asciiTheme="minorHAnsi" w:hAnsiTheme="minorHAnsi"/>
            <w:bCs/>
            <w:color w:val="070F13" w:themeColor="text1"/>
            <w:sz w:val="24"/>
          </w:rPr>
          <w:t xml:space="preserve">13</w:t>
        </w:r>
      </w:fldSimple>
    </w:p>
    <w:p>
      <w:pPr>
        <w:pStyle w:val="TOC1"/>
        <w:spacing w:before="120"/>
        <w:rPr/>
      </w:pPr>
      <w:r>
        <w:rPr>
          <w:rFonts w:asciiTheme="minorHAnsi" w:hAnsiTheme="minorHAnsi"/>
          <w:bCs/>
          <w:color w:val="070F13" w:themeColor="text1"/>
          <w:sz w:val="24"/>
        </w:rPr>
        <w:t xml:space="preserve">Receivables management</w:t>
      </w:r>
      <w:r>
        <w:rPr>
          <w:rFonts w:asciiTheme="minorHAnsi" w:hAnsiTheme="minorHAnsi"/>
          <w:bCs/>
          <w:color w:val="070F13" w:themeColor="text1"/>
          <w:sz w:val="24"/>
        </w:rPr>
        <w:tab/>
      </w:r>
      <w:fldSimple w:instr=" PAGEREF _Toc1166951349 ">
        <w:r>
          <w:rPr>
            <w:rFonts w:asciiTheme="minorHAnsi" w:hAnsiTheme="minorHAnsi"/>
            <w:bCs/>
            <w:color w:val="070F13" w:themeColor="text1"/>
            <w:sz w:val="24"/>
          </w:rPr>
          <w:t xml:space="preserve">15</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777323257"/>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main purpose of this audit is to review;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1.    Review of internal controls in place.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2.    To identify opportunities for improvement.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3. Follow up of round 1 spot checks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 part of the 2025 audit plan, the Internal Audit department conducted a review of KRCS Upper Eastern branches (Isiolo, Samburu and Marsabit)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review was designed to cover governance, risk management and internal control processes for the period July 2025 to September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803103925"/>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From the work done, we conclude that the processes around resource management, HR management and Membership management NEEDS IMPROVEMENT. We have highlighted in this report areas that require management attention</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973877550"/>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Internal Controls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4</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5</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787178817"/>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Enhance resource mobilisation strategies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Improve membership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HR Gaps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Head of Region</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Payables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Receivables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710701983"/>
            <w:r>
              <w:rPr/>
              <w:t xml:space="preserve">  Enhance resource mobilisation strategies </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Internal Controls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Declining Branch Income </w:t>
            </w:r>
          </w:p>
          <w:p>
            <w:pPr>
              <w:pStyle w:val="BodyText"/>
              <w:numPr>
                <w:ilvl w:val="1"/>
                <w:numId w:val="12"/>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Marsabit generated Ksh 1,042,920 from January to October 2025  compared to KSh 2,625,000  in 2024 </w:t>
            </w:r>
          </w:p>
          <w:p>
            <w:pPr>
              <w:pStyle w:val="BodyText"/>
              <w:numPr>
                <w:ilvl w:val="1"/>
                <w:numId w:val="12"/>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Samburu generated KSh 222,610 from Jan to October  2025 compared to KSh 1,094,824 in 2024 </w:t>
            </w:r>
          </w:p>
          <w:p>
            <w:pPr>
              <w:pStyle w:val="BodyText"/>
              <w:numPr>
                <w:ilvl w:val="1"/>
                <w:numId w:val="12"/>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generated KSh 1,454,400 from January to October 2025 compared to KSh 2,668,524 in 2024  This reflects a downward trend across all branches.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Overreliance on Projects</w:t>
            </w:r>
          </w:p>
          <w:p>
            <w:pPr>
              <w:pStyle w:val="BodyText"/>
              <w:numPr>
                <w:ilvl w:val="1"/>
                <w:numId w:val="12"/>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 reduction of income  in the region  is directly linked to reduced project activity, highlighting a lack of diversified income streams.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Related Party Policy (Marsabit) </w:t>
            </w:r>
          </w:p>
          <w:p>
            <w:pPr>
              <w:pStyle w:val="BodyText"/>
              <w:numPr>
                <w:ilvl w:val="1"/>
                <w:numId w:val="12"/>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Marsabit brokered outsourced conference services at a premium, contrary to related party policy which states that “To avoid this conflict, procuring entities shall not buy traded commodities from related parties. Procuring entities should therefore buy only services and manufactured goods from related parties. This means that the Society’s Branches and Regions will only trade in goods and services they have produced themselves. They cannot outsource the goods and services and sell to any other entity of the Society” Examples include </w:t>
            </w:r>
          </w:p>
          <w:p>
            <w:pPr>
              <w:pStyle w:val="BodyText"/>
              <w:numPr>
                <w:ilvl w:val="1"/>
                <w:numId w:val="12"/>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bl>
            <w:tblPr>
              <w:tblW w:w="136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38"/>
              <w:gridCol w:w="1907"/>
              <w:gridCol w:w="2758"/>
              <w:gridCol w:w="1145"/>
              <w:gridCol w:w="1338"/>
              <w:gridCol w:w="1730"/>
              <w:gridCol w:w="3184"/>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Cust Name 2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 Account Name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I.A Remarks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INV301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Conf pkg SAFE Access Training MBT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ICRC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Conference 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Outsourced services from ACK diocess of Marsabit at Ksh 224,000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08/09/2025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UERPSTDINV-25-0066.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Conference package during CEA Training in Marsabit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HQ- Regional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Conference 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Outsourced services from Sylvia inn at Ksh 125,000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sz w:val="20"/>
                <w:szCs w:val="20"/>
              </w:rPr>
              <w:t xml:space="preserv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Declining income threatens branch financial sustainability and operational continuity.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the Related Party Policy exposes the organisation to governance, reputational, and audit risks.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Missed opportunities for growth in training, membership, and facility utilisation.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 diversified resource mobilisation strategies with quarterly performance monitoring.</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38217710"/>
            <w:r>
              <w:rPr/>
              <w:t xml:space="preserve">  Improve membership management</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Internal Controls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6.2 of the Membership Policy: </w:t>
            </w: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members shall be entitled to a certificate of membership.” Additionaly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membership should constitute at least 3% of the population coverage to be considered well-functioning.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Across the Marsabit, Samburu, and Isiolo branches, we observed significant deficiencies in membership recruitment, certificate issuance, and adherence to policy requirements: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 Membership Recruitment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Marsabit recruited only 7 members (6 life, 1 ordinary) between January 2024 and October 2025.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recruited 19 members between January and October 2025, adding to an existing membership of 494.  At the current recruitment rates, both branches are unlikely to meet the minimum membership threshold of 3% of population coverage.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Non-Issuance and/or Delayed Issuance of Membership Certificates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Samburu and Isiolo branches only life members were issued with certificates</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contrary to the Membership Policy requirement that </w:t>
            </w: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members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are entitled to certificates.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Marsabit records show no corresponding certificate processing payments, indicating that certificates were not issued to newly recruited members.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Samburu last processed certificate payments in February 2025, implying that life members recruited thereafter were not issued certificates.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exhibited delays in certificate issuance. Certificates requested for the periods </w:t>
            </w: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January–April</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were requested in April 2025 and </w:t>
            </w: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May–August 2025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were requested in August 2025 (not received as at October</w:t>
            </w: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 2025)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Documentation and Monitoring Controls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Marsabit issued incorrect receipts series number 4600's and not the standard membership receipts 120000 series .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Samburu could not provide clarity on the number of members who have not been issued certificates, indicating absence of reconciliation. </w:t>
            </w:r>
          </w:p>
          <w:p>
            <w:pPr>
              <w:pStyle w:val="BodyText"/>
              <w:numPr>
                <w:ilvl w:val="1"/>
                <w:numId w:val="14"/>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did not request certificates regularly, resulting in issuance delays and incomplete documentation.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Branches risk failing to meet the required 3% membership coverage, impacting operational effectiveness and sustainability.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Members are deprived of their rightful certificates, reducing confidence in the organization's membership processes.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membership recruitment strategies to align with the 3% population coverage requirement. </w:t>
            </w:r>
          </w:p>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Ensure full compliance with Section 6.2 of the Membership Policy by issuing certificates to all members, not only life members. </w:t>
            </w:r>
          </w:p>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Process outstanding certificate requests immediately and implement a regular certificate tracking and reconciliation system in all branches. </w:t>
            </w:r>
          </w:p>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Standardize the use of designated membership receipts and improve documentation controls. </w:t>
            </w:r>
          </w:p>
          <w:p>
            <w:pPr>
              <w:pStyle w:val="BodyText"/>
              <w:numPr>
                <w:ilvl w:val="0"/>
                <w:numId w:val="17"/>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Provide targeted oversight and periodic monitoring to ensure consistent implementation of membership procedures across the branches.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390960151"/>
            <w:r>
              <w:rPr/>
              <w:t xml:space="preserve">  HR Gaps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Internal Controls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Head of Region</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sz w:val="20"/>
                <w:szCs w:val="20"/>
              </w:rPr>
              <w:t xml:space="preserve">MARSABIT BRANCHWe noted that the Marsabit Branch currently has three staff members all being project officers , with one officer doubling as the County Coordinator (CC). The branch lacks dedicated personnel in administration, finance, and procurement, and these functions are currently supported by the Regional Office.This staffing gap has adversely affected the NSD component, as the CC is unable to effectively balance both project management responsibilities and resource mobilisation functions.SAMBURU BRANCHsamburu branch has a county coordinator who is not a project officer, however the branch lacks key personnel in finance and procurement. This has resulted in delays in processing of payments because of ·         Financial operations including written cheques done from the region·         Signatories are not easily accessible- The current signatories are HOR WKR, Lydia Maina and Musa Abdile the Chair(This has since been resolved)For instance, a Basic First Aid training conducted on 22 February this year certificates have not been issued because processing of payments to the training institute has just been concluded on 22 Oct 2025 i.e 9 months later keeping in mind that the certificates are valid for a period of one year after the trainingISIOLO BRANCHThe position of County coordinator has not yet been filled since last spotcheck done in June 2025</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branch development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Leadership gaps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Operational delays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Transition the current CC for Isiolo fully to either NSD or Project work and fill the vacancy created</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Fill the CC vacancy in Isiolo</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Onboard a finance personnel  and procurement personnel in Samburu and Marsabit</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62734182"/>
            <w:r>
              <w:rPr/>
              <w:t xml:space="preserve">  Payables management</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Internal Controls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Good progress in settling payables in Marsabit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observed that outstanding payables reduced from KSh 7,734,038 (June spot check) to KSh 1,903,956, following payments totaling KSh 5,599,087 made by Administration and the Upper Eastern Region for the construction. These payments remain recorded under creditors, indicating the payables ledger has not been updated to reflect settlements.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Long outstanding payables in Samburu</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noted the branch has a number of payments which have been outstanding as tabulated below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73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4488"/>
              <w:gridCol w:w="2812"/>
            </w:tblGrid>
            <w:tr>
              <w:trPr/>
              <w:tc>
                <w:tcPr>
                  <w:tcW w:w="0" w:type="auto"/>
                  <w:shd w:val="clear" w:color="FFFFFF" w:fill="DDEBF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Row Labels </w:t>
                  </w:r>
                </w:p>
              </w:tc>
              <w:tc>
                <w:tcPr>
                  <w:tcW w:w="0" w:type="auto"/>
                  <w:shd w:val="clear" w:color="FFFFFF" w:fill="DDEBF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Sum of Amount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Grant Thornton Kenya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-55,364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Upper Eastern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-65,599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Mufri Construction Co.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-3,639,709.63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Lime Solution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-112,000 </w:t>
                  </w:r>
                </w:p>
              </w:tc>
            </w:tr>
            <w:tr>
              <w:trPr/>
              <w:tc>
                <w:tcPr>
                  <w:tcW w:w="0" w:type="auto"/>
                  <w:shd w:val="clear" w:color="FFFFFF" w:fill="DDEBF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DEBF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-3,872,672.63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Litigation due to failure to honor obligations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Reputational risk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Enhance resource mobilisation strategies to raise more resources to settle pending bills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1166951349"/>
            <w:r>
              <w:rPr/>
              <w:t xml:space="preserve">  Receivables management</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Internal Controls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noted that Isiolo Branch has a long-outstanding receivable of Ksh 760,000 due from the Regional Office since 2021. This balance relates to a joint vehicle procurement initiative undertaken by branches within the Upper Eastern Region. While the other branches have since been refunded their contributions, the refund for Isiolo Branch remains pending as the branch has expressed intent to top up the amount in order to acquire a branch vehicle.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Misstatement: The continued retention of the Ksh 760,000 receivable without resolution increases the risk of overstated assets in the branch’s financial statements.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branch should formally engage the Regional Office to confirm the status of the Ksh 760,000 receivable and agree on the way forward i.e whether the amount will be refunded or applied toward the planned vehicle acquisition.</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Upper Eastern Region Round 2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15</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46919386"/>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3">
    <w:multiLevelType w:val="hybridMultilevel"/>
    <w:tmpl w:val="9c7e324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4">
    <w:multiLevelType w:val="hybridMultilevel"/>
    <w:tmpl w:val="9b679512"/>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5">
    <w:multiLevelType w:val="hybridMultilevel"/>
    <w:tmpl w:val="82c2cba8"/>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6">
    <w:multiLevelType w:val="hybridMultilevel"/>
    <w:tmpl w:val="7279eab7"/>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7">
    <w:multiLevelType w:val="hybridMultilevel"/>
    <w:tmpl w:val="cf9d5cf2"/>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8">
    <w:multiLevelType w:val="hybridMultilevel"/>
    <w:tmpl w:val="e94dbe1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9">
    <w:multiLevelType w:val="hybridMultilevel"/>
    <w:tmpl w:val="642398d8"/>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High</c:v>
              </c:pt>
              <c:pt idx="1">
                <c:v>Medium</c:v>
              </c:pt>
            </c:strLit>
          </c:cat>
          <c:val>
            <c:numLit>
              <c:formatCode>General</c:formatCode>
              <c:ptCount val="2"/>
              <c:pt idx="0">
                <c:v>4</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County Coordinators</c:v>
              </c:pt>
              <c:pt idx="1">
                <c:v>Head of Region</c:v>
              </c:pt>
              <c:pt idx="2">
                <c:v>County coordinator</c:v>
              </c:pt>
              <c:pt idx="3">
                <c:v>County Coordinator</c:v>
              </c:pt>
            </c:strLit>
          </c:cat>
          <c:val>
            <c:numLit>
              <c:formatCode>General</c:formatCode>
              <c:ptCount val="4"/>
              <c:pt idx="0">
                <c:v>2</c:v>
              </c:pt>
              <c:pt idx="1">
                <c:v>1</c:v>
              </c:pt>
              <c:pt idx="2">
                <c:v>1</c:v>
              </c:pt>
              <c:pt idx="3">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15</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2026-04-02T08:31:00Z</dcterms:created>
  <dcterms:modified xsi:type="dcterms:W3CDTF">2026-04-02T08:31:00Z</dcterms:modified>
</cp:coreProperties>
</file>