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B57D4" w14:textId="6333A35B" w:rsidR="00407FDC" w:rsidRPr="00527FB3" w:rsidRDefault="00407FDC" w:rsidP="00527FB3">
      <w:pPr>
        <w:spacing w:line="360" w:lineRule="auto"/>
        <w:rPr>
          <w:rFonts w:ascii="Arial" w:hAnsi="Arial" w:cs="Arial"/>
          <w:sz w:val="22"/>
          <w:szCs w:val="22"/>
          <w:lang w:val="nl-NL"/>
        </w:rPr>
      </w:pPr>
      <w:r w:rsidRPr="00527FB3">
        <w:rPr>
          <w:rFonts w:ascii="Arial" w:hAnsi="Arial" w:cs="Arial"/>
          <w:sz w:val="22"/>
          <w:szCs w:val="22"/>
          <w:lang w:val="nl-NL"/>
        </w:rPr>
        <w:t>Metabool syndroom is een wereldwijd groeiend gezondheidsprobleem dat wordt gekenmerkt door een com</w:t>
      </w:r>
      <w:r w:rsidR="007C0FC6" w:rsidRPr="00527FB3">
        <w:rPr>
          <w:rFonts w:ascii="Arial" w:hAnsi="Arial" w:cs="Arial"/>
          <w:sz w:val="22"/>
          <w:szCs w:val="22"/>
          <w:lang w:val="nl-NL"/>
        </w:rPr>
        <w:t>b</w:t>
      </w:r>
      <w:r w:rsidRPr="00527FB3">
        <w:rPr>
          <w:rFonts w:ascii="Arial" w:hAnsi="Arial" w:cs="Arial"/>
          <w:sz w:val="22"/>
          <w:szCs w:val="22"/>
          <w:lang w:val="nl-NL"/>
        </w:rPr>
        <w:t>inatie van metabole risico factoren, waaronder</w:t>
      </w:r>
      <w:r w:rsidR="00D76782" w:rsidRPr="00527FB3">
        <w:rPr>
          <w:rFonts w:ascii="Arial" w:hAnsi="Arial" w:cs="Arial"/>
          <w:sz w:val="22"/>
          <w:szCs w:val="22"/>
          <w:lang w:val="nl-NL"/>
        </w:rPr>
        <w:t xml:space="preserve"> abdominale</w:t>
      </w:r>
      <w:r w:rsidRPr="00527FB3">
        <w:rPr>
          <w:rFonts w:ascii="Arial" w:hAnsi="Arial" w:cs="Arial"/>
          <w:sz w:val="22"/>
          <w:szCs w:val="22"/>
          <w:lang w:val="nl-NL"/>
        </w:rPr>
        <w:t xml:space="preserve"> obesitas, </w:t>
      </w:r>
      <w:r w:rsidR="00D76782" w:rsidRPr="00527FB3">
        <w:rPr>
          <w:rFonts w:ascii="Arial" w:hAnsi="Arial" w:cs="Arial"/>
          <w:sz w:val="22"/>
          <w:szCs w:val="22"/>
          <w:lang w:val="nl-NL"/>
        </w:rPr>
        <w:t>i</w:t>
      </w:r>
      <w:r w:rsidRPr="00527FB3">
        <w:rPr>
          <w:rFonts w:ascii="Arial" w:hAnsi="Arial" w:cs="Arial"/>
          <w:sz w:val="22"/>
          <w:szCs w:val="22"/>
          <w:lang w:val="nl-NL"/>
        </w:rPr>
        <w:t>nsuline resistentie,dyslipidemie en hypertensie</w:t>
      </w:r>
      <w:r w:rsidR="007211F7" w:rsidRPr="00527FB3">
        <w:rPr>
          <w:rFonts w:ascii="Arial" w:hAnsi="Arial" w:cs="Arial"/>
          <w:sz w:val="22"/>
          <w:szCs w:val="22"/>
          <w:lang w:val="nl-NL"/>
        </w:rPr>
        <w:t xml:space="preserve"> (</w:t>
      </w:r>
      <w:r w:rsidR="007211F7" w:rsidRPr="00527FB3">
        <w:rPr>
          <w:rFonts w:ascii="Arial" w:hAnsi="Arial" w:cs="Arial"/>
          <w:sz w:val="22"/>
          <w:szCs w:val="22"/>
          <w:lang w:val="nl-NL"/>
        </w:rPr>
        <w:t>Pigeot</w:t>
      </w:r>
      <w:r w:rsidR="007211F7" w:rsidRPr="00527FB3">
        <w:rPr>
          <w:rFonts w:ascii="Arial" w:hAnsi="Arial" w:cs="Arial"/>
          <w:sz w:val="22"/>
          <w:szCs w:val="22"/>
          <w:lang w:val="nl-NL"/>
        </w:rPr>
        <w:t xml:space="preserve"> </w:t>
      </w:r>
      <w:r w:rsidR="007211F7" w:rsidRPr="00527FB3">
        <w:rPr>
          <w:rFonts w:ascii="Arial" w:hAnsi="Arial" w:cs="Arial"/>
          <w:sz w:val="22"/>
          <w:szCs w:val="22"/>
          <w:lang w:val="nl-NL"/>
        </w:rPr>
        <w:t>&amp; Ahrens</w:t>
      </w:r>
      <w:r w:rsidR="007211F7" w:rsidRPr="00527FB3">
        <w:rPr>
          <w:rFonts w:ascii="Arial" w:hAnsi="Arial" w:cs="Arial"/>
          <w:sz w:val="22"/>
          <w:szCs w:val="22"/>
          <w:lang w:val="nl-NL"/>
        </w:rPr>
        <w:t xml:space="preserve">, </w:t>
      </w:r>
      <w:r w:rsidR="007211F7" w:rsidRPr="00527FB3">
        <w:rPr>
          <w:rFonts w:ascii="Arial" w:hAnsi="Arial" w:cs="Arial"/>
          <w:sz w:val="22"/>
          <w:szCs w:val="22"/>
          <w:lang w:val="nl-NL"/>
        </w:rPr>
        <w:t>2025).</w:t>
      </w:r>
      <w:r w:rsidR="007211F7" w:rsidRPr="00527FB3">
        <w:rPr>
          <w:rFonts w:ascii="Arial" w:hAnsi="Arial" w:cs="Arial"/>
          <w:sz w:val="22"/>
          <w:szCs w:val="22"/>
          <w:lang w:val="nl-NL"/>
        </w:rPr>
        <w:t xml:space="preserve"> In een meta-analyse</w:t>
      </w:r>
      <w:r w:rsidR="007C0FC6" w:rsidRPr="00527FB3">
        <w:rPr>
          <w:rFonts w:ascii="Arial" w:hAnsi="Arial" w:cs="Arial"/>
          <w:sz w:val="22"/>
          <w:szCs w:val="22"/>
          <w:lang w:val="nl-NL"/>
        </w:rPr>
        <w:t xml:space="preserve"> op basis van gegevens van meer dan 28 miljoen individuen rapporteerden</w:t>
      </w:r>
      <w:r w:rsidR="007211F7" w:rsidRPr="00527FB3">
        <w:rPr>
          <w:rFonts w:ascii="Arial" w:hAnsi="Arial" w:cs="Arial"/>
          <w:sz w:val="22"/>
          <w:szCs w:val="22"/>
          <w:lang w:val="nl-NL"/>
        </w:rPr>
        <w:t xml:space="preserve"> </w:t>
      </w:r>
      <w:r w:rsidR="007211F7" w:rsidRPr="00527FB3">
        <w:rPr>
          <w:rFonts w:ascii="Arial" w:hAnsi="Arial" w:cs="Arial"/>
          <w:sz w:val="22"/>
          <w:szCs w:val="22"/>
          <w:lang w:val="nl-NL"/>
        </w:rPr>
        <w:t>Noubiap</w:t>
      </w:r>
      <w:r w:rsidR="007211F7" w:rsidRPr="00527FB3">
        <w:rPr>
          <w:rFonts w:ascii="Arial" w:hAnsi="Arial" w:cs="Arial"/>
          <w:sz w:val="22"/>
          <w:szCs w:val="22"/>
          <w:lang w:val="nl-NL"/>
        </w:rPr>
        <w:t xml:space="preserve"> et al. (2022) </w:t>
      </w:r>
      <w:r w:rsidR="007C0FC6" w:rsidRPr="00527FB3">
        <w:rPr>
          <w:rFonts w:ascii="Arial" w:hAnsi="Arial" w:cs="Arial"/>
          <w:sz w:val="22"/>
          <w:szCs w:val="22"/>
          <w:lang w:val="nl-NL"/>
        </w:rPr>
        <w:t>een</w:t>
      </w:r>
      <w:r w:rsidR="007211F7" w:rsidRPr="00527FB3">
        <w:rPr>
          <w:rFonts w:ascii="Arial" w:hAnsi="Arial" w:cs="Arial"/>
          <w:sz w:val="22"/>
          <w:szCs w:val="22"/>
          <w:lang w:val="nl-NL"/>
        </w:rPr>
        <w:t xml:space="preserve"> prevalentie van 12.5% tot 31.4</w:t>
      </w:r>
      <w:r w:rsidR="007C0FC6" w:rsidRPr="00527FB3">
        <w:rPr>
          <w:rFonts w:ascii="Arial" w:hAnsi="Arial" w:cs="Arial"/>
          <w:sz w:val="22"/>
          <w:szCs w:val="22"/>
          <w:lang w:val="nl-NL"/>
        </w:rPr>
        <w:t xml:space="preserve">. Ook bleek </w:t>
      </w:r>
      <w:r w:rsidR="00543D00" w:rsidRPr="00527FB3">
        <w:rPr>
          <w:rFonts w:ascii="Arial" w:hAnsi="Arial" w:cs="Arial"/>
          <w:sz w:val="22"/>
          <w:szCs w:val="22"/>
          <w:lang w:val="nl-NL"/>
        </w:rPr>
        <w:t xml:space="preserve">dat metabool syndroom zich niet meer </w:t>
      </w:r>
      <w:r w:rsidR="007C0FC6" w:rsidRPr="00527FB3">
        <w:rPr>
          <w:rFonts w:ascii="Arial" w:hAnsi="Arial" w:cs="Arial"/>
          <w:sz w:val="22"/>
          <w:szCs w:val="22"/>
          <w:lang w:val="nl-NL"/>
        </w:rPr>
        <w:t>beperkt tot</w:t>
      </w:r>
      <w:r w:rsidR="00543D00" w:rsidRPr="00527FB3">
        <w:rPr>
          <w:rFonts w:ascii="Arial" w:hAnsi="Arial" w:cs="Arial"/>
          <w:sz w:val="22"/>
          <w:szCs w:val="22"/>
          <w:lang w:val="nl-NL"/>
        </w:rPr>
        <w:t xml:space="preserve"> volwassenen, maar ook </w:t>
      </w:r>
      <w:r w:rsidR="007C0FC6" w:rsidRPr="00527FB3">
        <w:rPr>
          <w:rFonts w:ascii="Arial" w:hAnsi="Arial" w:cs="Arial"/>
          <w:sz w:val="22"/>
          <w:szCs w:val="22"/>
          <w:lang w:val="nl-NL"/>
        </w:rPr>
        <w:t xml:space="preserve">voorkomt </w:t>
      </w:r>
      <w:r w:rsidR="00543D00" w:rsidRPr="00527FB3">
        <w:rPr>
          <w:rFonts w:ascii="Arial" w:hAnsi="Arial" w:cs="Arial"/>
          <w:sz w:val="22"/>
          <w:szCs w:val="22"/>
          <w:lang w:val="nl-NL"/>
        </w:rPr>
        <w:t>in</w:t>
      </w:r>
      <w:r w:rsidR="007C0FC6" w:rsidRPr="00527FB3">
        <w:rPr>
          <w:rFonts w:ascii="Arial" w:hAnsi="Arial" w:cs="Arial"/>
          <w:sz w:val="22"/>
          <w:szCs w:val="22"/>
          <w:lang w:val="nl-NL"/>
        </w:rPr>
        <w:t xml:space="preserve"> </w:t>
      </w:r>
      <w:r w:rsidR="00543D00" w:rsidRPr="00527FB3">
        <w:rPr>
          <w:rFonts w:ascii="Arial" w:hAnsi="Arial" w:cs="Arial"/>
          <w:sz w:val="22"/>
          <w:szCs w:val="22"/>
          <w:lang w:val="nl-NL"/>
        </w:rPr>
        <w:t xml:space="preserve">kinderen en adolescenten. </w:t>
      </w:r>
      <w:r w:rsidR="007C0FC6" w:rsidRPr="00527FB3">
        <w:rPr>
          <w:rFonts w:ascii="Arial" w:hAnsi="Arial" w:cs="Arial"/>
          <w:sz w:val="22"/>
          <w:szCs w:val="22"/>
          <w:lang w:val="nl-NL"/>
        </w:rPr>
        <w:br/>
        <w:t xml:space="preserve">De aanwezigheid vanmetabool syndroom verdubbelt het risico op het ontwikkelen van cardiovasculaire aandoeningen, waaronder myocardinfarct,hartfalen, beroerte en coronaire hartziekten. Tevens verhoogt het de kan op mortaliteit door cardiovasculaire oorzaken </w:t>
      </w:r>
      <w:r w:rsidR="007C0FC6" w:rsidRPr="00527FB3">
        <w:rPr>
          <w:rFonts w:ascii="Arial" w:hAnsi="Arial" w:cs="Arial"/>
          <w:sz w:val="22"/>
          <w:szCs w:val="22"/>
          <w:lang w:val="nl-NL"/>
        </w:rPr>
        <w:t>(de Simone et al., 2007).</w:t>
      </w:r>
      <w:r w:rsidR="007C0FC6" w:rsidRPr="00527FB3">
        <w:rPr>
          <w:rFonts w:ascii="Arial" w:hAnsi="Arial" w:cs="Arial"/>
          <w:sz w:val="22"/>
          <w:szCs w:val="22"/>
          <w:lang w:val="nl-NL"/>
        </w:rPr>
        <w:t xml:space="preserve"> Daarnaast wordt het syndroom terk geassocieerdmet de ontwikkeling van diabetes mellitus type 2, wat op zijn beurt het risico op complicaties zoals slaapapneu, pulmonale hypertensie en osteoartritis verder vergroot </w:t>
      </w:r>
      <w:r w:rsidR="007C0FC6" w:rsidRPr="00527FB3">
        <w:rPr>
          <w:rFonts w:ascii="Arial" w:hAnsi="Arial" w:cs="Arial"/>
          <w:sz w:val="22"/>
          <w:szCs w:val="22"/>
          <w:lang w:val="nl-NL"/>
        </w:rPr>
        <w:t>(de Simone et al., 2007).</w:t>
      </w:r>
    </w:p>
    <w:p w14:paraId="1978E694" w14:textId="77777777" w:rsidR="00A80733" w:rsidRDefault="00186F6C" w:rsidP="00527FB3">
      <w:pPr>
        <w:spacing w:line="360" w:lineRule="auto"/>
        <w:rPr>
          <w:rFonts w:ascii="Arial" w:hAnsi="Arial" w:cs="Arial"/>
          <w:sz w:val="22"/>
          <w:szCs w:val="22"/>
          <w:lang w:val="nl-NL"/>
        </w:rPr>
      </w:pPr>
      <w:r w:rsidRPr="00527FB3">
        <w:rPr>
          <w:rFonts w:ascii="Arial" w:hAnsi="Arial" w:cs="Arial"/>
          <w:sz w:val="22"/>
          <w:szCs w:val="22"/>
          <w:lang w:val="nl-NL"/>
        </w:rPr>
        <w:t>De huidige diagnostiek van metabool syndroom is grotendeels afhankelijk van invasieve bloedonderzoeken en klinische parameters zoals glucose, insuline en</w:t>
      </w:r>
      <w:r w:rsidR="007C0FC6" w:rsidRPr="00527FB3">
        <w:rPr>
          <w:rFonts w:ascii="Arial" w:hAnsi="Arial" w:cs="Arial"/>
          <w:sz w:val="22"/>
          <w:szCs w:val="22"/>
          <w:lang w:val="nl-NL"/>
        </w:rPr>
        <w:t xml:space="preserve"> </w:t>
      </w:r>
      <w:r w:rsidRPr="00527FB3">
        <w:rPr>
          <w:rFonts w:ascii="Arial" w:hAnsi="Arial" w:cs="Arial"/>
          <w:sz w:val="22"/>
          <w:szCs w:val="22"/>
          <w:lang w:val="nl-NL"/>
        </w:rPr>
        <w:t>lipiden waarden</w:t>
      </w:r>
      <w:r w:rsidR="008B590E" w:rsidRPr="00527FB3">
        <w:rPr>
          <w:rFonts w:ascii="Arial" w:hAnsi="Arial" w:cs="Arial"/>
          <w:sz w:val="22"/>
          <w:szCs w:val="22"/>
          <w:lang w:val="nl-NL"/>
        </w:rPr>
        <w:t xml:space="preserve">. </w:t>
      </w:r>
      <w:r w:rsidR="007C0FC6" w:rsidRPr="00527FB3">
        <w:rPr>
          <w:rFonts w:ascii="Arial" w:hAnsi="Arial" w:cs="Arial"/>
          <w:sz w:val="22"/>
          <w:szCs w:val="22"/>
          <w:lang w:val="nl-NL"/>
        </w:rPr>
        <w:t>H</w:t>
      </w:r>
      <w:r w:rsidR="008B590E" w:rsidRPr="00527FB3">
        <w:rPr>
          <w:rFonts w:ascii="Arial" w:hAnsi="Arial" w:cs="Arial"/>
          <w:sz w:val="22"/>
          <w:szCs w:val="22"/>
          <w:lang w:val="nl-NL"/>
        </w:rPr>
        <w:t xml:space="preserve">oewel deze methoden </w:t>
      </w:r>
      <w:r w:rsidR="007C0FC6" w:rsidRPr="00527FB3">
        <w:rPr>
          <w:rFonts w:ascii="Arial" w:hAnsi="Arial" w:cs="Arial"/>
          <w:sz w:val="22"/>
          <w:szCs w:val="22"/>
          <w:lang w:val="nl-NL"/>
        </w:rPr>
        <w:t>klinisch betrouwbaar zijn</w:t>
      </w:r>
      <w:r w:rsidR="008B590E" w:rsidRPr="00527FB3">
        <w:rPr>
          <w:rFonts w:ascii="Arial" w:hAnsi="Arial" w:cs="Arial"/>
          <w:sz w:val="22"/>
          <w:szCs w:val="22"/>
          <w:lang w:val="nl-NL"/>
        </w:rPr>
        <w:t xml:space="preserve">, </w:t>
      </w:r>
      <w:r w:rsidR="007C0FC6" w:rsidRPr="00527FB3">
        <w:rPr>
          <w:rFonts w:ascii="Arial" w:hAnsi="Arial" w:cs="Arial"/>
          <w:sz w:val="22"/>
          <w:szCs w:val="22"/>
          <w:lang w:val="nl-NL"/>
        </w:rPr>
        <w:t>brengen ze beperkingen met zich mee: zo zijn ze kostbaar</w:t>
      </w:r>
      <w:r w:rsidR="008B590E" w:rsidRPr="00527FB3">
        <w:rPr>
          <w:rFonts w:ascii="Arial" w:hAnsi="Arial" w:cs="Arial"/>
          <w:sz w:val="22"/>
          <w:szCs w:val="22"/>
          <w:lang w:val="nl-NL"/>
        </w:rPr>
        <w:t xml:space="preserve">, </w:t>
      </w:r>
      <w:r w:rsidR="007C0FC6" w:rsidRPr="00527FB3">
        <w:rPr>
          <w:rFonts w:ascii="Arial" w:hAnsi="Arial" w:cs="Arial"/>
          <w:sz w:val="22"/>
          <w:szCs w:val="22"/>
          <w:lang w:val="nl-NL"/>
        </w:rPr>
        <w:t>tijdsintensief</w:t>
      </w:r>
      <w:r w:rsidR="008B590E" w:rsidRPr="00527FB3">
        <w:rPr>
          <w:rFonts w:ascii="Arial" w:hAnsi="Arial" w:cs="Arial"/>
          <w:sz w:val="22"/>
          <w:szCs w:val="22"/>
          <w:lang w:val="nl-NL"/>
        </w:rPr>
        <w:t xml:space="preserve">, en </w:t>
      </w:r>
      <w:r w:rsidR="007C0FC6" w:rsidRPr="00527FB3">
        <w:rPr>
          <w:rFonts w:ascii="Arial" w:hAnsi="Arial" w:cs="Arial"/>
          <w:sz w:val="22"/>
          <w:szCs w:val="22"/>
          <w:lang w:val="nl-NL"/>
        </w:rPr>
        <w:t xml:space="preserve">is getraind personeel vereist. </w:t>
      </w:r>
      <w:r w:rsidR="00AB39CD" w:rsidRPr="00527FB3">
        <w:rPr>
          <w:rFonts w:ascii="Arial" w:hAnsi="Arial" w:cs="Arial"/>
          <w:sz w:val="22"/>
          <w:szCs w:val="22"/>
          <w:lang w:val="nl-NL"/>
        </w:rPr>
        <w:br/>
        <w:t xml:space="preserve">Een systematic review van </w:t>
      </w:r>
      <w:r w:rsidR="00AB39CD" w:rsidRPr="00527FB3">
        <w:rPr>
          <w:rFonts w:ascii="Arial" w:hAnsi="Arial" w:cs="Arial"/>
          <w:sz w:val="22"/>
          <w:szCs w:val="22"/>
          <w:lang w:val="nl-NL"/>
        </w:rPr>
        <w:t xml:space="preserve">Habobe </w:t>
      </w:r>
      <w:r w:rsidR="006F31E8" w:rsidRPr="00527FB3">
        <w:rPr>
          <w:rFonts w:ascii="Arial" w:hAnsi="Arial" w:cs="Arial"/>
          <w:sz w:val="22"/>
          <w:szCs w:val="22"/>
          <w:lang w:val="nl-NL"/>
        </w:rPr>
        <w:t>et al.</w:t>
      </w:r>
      <w:r w:rsidR="00AB39CD" w:rsidRPr="00527FB3">
        <w:rPr>
          <w:rFonts w:ascii="Arial" w:hAnsi="Arial" w:cs="Arial"/>
          <w:sz w:val="22"/>
          <w:szCs w:val="22"/>
          <w:lang w:val="nl-NL"/>
        </w:rPr>
        <w:t xml:space="preserve"> (</w:t>
      </w:r>
      <w:r w:rsidR="00AB39CD" w:rsidRPr="00527FB3">
        <w:rPr>
          <w:rFonts w:ascii="Arial" w:hAnsi="Arial" w:cs="Arial"/>
          <w:sz w:val="22"/>
          <w:szCs w:val="22"/>
          <w:lang w:val="nl-NL"/>
        </w:rPr>
        <w:t>2025</w:t>
      </w:r>
      <w:r w:rsidR="00AB39CD" w:rsidRPr="00527FB3">
        <w:rPr>
          <w:rFonts w:ascii="Arial" w:hAnsi="Arial" w:cs="Arial"/>
          <w:sz w:val="22"/>
          <w:szCs w:val="22"/>
          <w:lang w:val="nl-NL"/>
        </w:rPr>
        <w:t>) heeft het over de potentie van s</w:t>
      </w:r>
      <w:r w:rsidR="008B590E" w:rsidRPr="00527FB3">
        <w:rPr>
          <w:rFonts w:ascii="Arial" w:hAnsi="Arial" w:cs="Arial"/>
          <w:sz w:val="22"/>
          <w:szCs w:val="22"/>
          <w:lang w:val="nl-NL"/>
        </w:rPr>
        <w:t>peeksel</w:t>
      </w:r>
      <w:r w:rsidR="00AB39CD" w:rsidRPr="00527FB3">
        <w:rPr>
          <w:rFonts w:ascii="Arial" w:hAnsi="Arial" w:cs="Arial"/>
          <w:sz w:val="22"/>
          <w:szCs w:val="22"/>
          <w:lang w:val="nl-NL"/>
        </w:rPr>
        <w:t xml:space="preserve"> als een non-invasieve</w:t>
      </w:r>
      <w:r w:rsidR="00AB39CD" w:rsidRPr="00527FB3">
        <w:rPr>
          <w:rFonts w:ascii="Arial" w:hAnsi="Arial" w:cs="Arial"/>
          <w:sz w:val="22"/>
          <w:szCs w:val="22"/>
          <w:lang w:val="nl-NL"/>
        </w:rPr>
        <w:t xml:space="preserve"> methode om metabool</w:t>
      </w:r>
      <w:r w:rsidR="00AB39CD" w:rsidRPr="00527FB3">
        <w:rPr>
          <w:rFonts w:ascii="Arial" w:hAnsi="Arial" w:cs="Arial"/>
          <w:sz w:val="22"/>
          <w:szCs w:val="22"/>
          <w:lang w:val="nl-NL"/>
        </w:rPr>
        <w:t xml:space="preserve"> syndroom </w:t>
      </w:r>
      <w:r w:rsidR="00AB39CD" w:rsidRPr="00527FB3">
        <w:rPr>
          <w:rFonts w:ascii="Arial" w:hAnsi="Arial" w:cs="Arial"/>
          <w:sz w:val="22"/>
          <w:szCs w:val="22"/>
          <w:lang w:val="nl-NL"/>
        </w:rPr>
        <w:t>vroegtijdig te diagnostiseren</w:t>
      </w:r>
      <w:r w:rsidR="00AB39CD" w:rsidRPr="00527FB3">
        <w:rPr>
          <w:rFonts w:ascii="Arial" w:hAnsi="Arial" w:cs="Arial"/>
          <w:sz w:val="22"/>
          <w:szCs w:val="22"/>
          <w:lang w:val="nl-NL"/>
        </w:rPr>
        <w:t>. Speeksel is eenvoudiger</w:t>
      </w:r>
      <w:r w:rsidR="006F31E8" w:rsidRPr="00527FB3">
        <w:rPr>
          <w:rFonts w:ascii="Arial" w:hAnsi="Arial" w:cs="Arial"/>
          <w:sz w:val="22"/>
          <w:szCs w:val="22"/>
          <w:lang w:val="nl-NL"/>
        </w:rPr>
        <w:t xml:space="preserve"> en pijnloos</w:t>
      </w:r>
      <w:r w:rsidR="00AB39CD" w:rsidRPr="00527FB3">
        <w:rPr>
          <w:rFonts w:ascii="Arial" w:hAnsi="Arial" w:cs="Arial"/>
          <w:sz w:val="22"/>
          <w:szCs w:val="22"/>
          <w:lang w:val="nl-NL"/>
        </w:rPr>
        <w:t xml:space="preserve"> te verzamelen, </w:t>
      </w:r>
      <w:r w:rsidR="006F31E8" w:rsidRPr="00527FB3">
        <w:rPr>
          <w:rFonts w:ascii="Arial" w:hAnsi="Arial" w:cs="Arial"/>
          <w:sz w:val="22"/>
          <w:szCs w:val="22"/>
          <w:lang w:val="nl-NL"/>
        </w:rPr>
        <w:t>vereist geen gespecialiseerd personeel en is daardood kosteneffectiever en patiëntvriendelijker. Speeksel bevat een breed scala een potentiële biomarkers, waaronder</w:t>
      </w:r>
      <w:r w:rsidR="00AB39CD" w:rsidRPr="00527FB3">
        <w:rPr>
          <w:rFonts w:ascii="Arial" w:hAnsi="Arial" w:cs="Arial"/>
          <w:sz w:val="22"/>
          <w:szCs w:val="22"/>
          <w:lang w:val="nl-NL"/>
        </w:rPr>
        <w:t xml:space="preserve"> ionen, eiwiten, hormonen, vetzuren en vitaminen. </w:t>
      </w:r>
      <w:r w:rsidR="006F31E8" w:rsidRPr="00527FB3">
        <w:rPr>
          <w:rFonts w:ascii="Arial" w:hAnsi="Arial" w:cs="Arial"/>
          <w:sz w:val="22"/>
          <w:szCs w:val="22"/>
          <w:lang w:val="nl-NL"/>
        </w:rPr>
        <w:t>Deze kunnen mogelijk de metabole status van een individu weerspiegelen en als diagnostisch materiaal dienen</w:t>
      </w:r>
      <w:r w:rsidR="0079796E" w:rsidRPr="00527FB3">
        <w:rPr>
          <w:rFonts w:ascii="Arial" w:hAnsi="Arial" w:cs="Arial"/>
          <w:sz w:val="22"/>
          <w:szCs w:val="22"/>
          <w:lang w:val="nl-NL"/>
        </w:rPr>
        <w:t xml:space="preserve"> (</w:t>
      </w:r>
      <w:r w:rsidR="0079796E" w:rsidRPr="00527FB3">
        <w:rPr>
          <w:rFonts w:ascii="Arial" w:hAnsi="Arial" w:cs="Arial"/>
          <w:sz w:val="22"/>
          <w:szCs w:val="22"/>
          <w:lang w:val="nl-NL"/>
        </w:rPr>
        <w:t>Habobe et al.</w:t>
      </w:r>
      <w:r w:rsidR="0079796E" w:rsidRPr="00527FB3">
        <w:rPr>
          <w:rFonts w:ascii="Arial" w:hAnsi="Arial" w:cs="Arial"/>
          <w:sz w:val="22"/>
          <w:szCs w:val="22"/>
          <w:lang w:val="nl-NL"/>
        </w:rPr>
        <w:t xml:space="preserve">, </w:t>
      </w:r>
      <w:r w:rsidR="0079796E" w:rsidRPr="00527FB3">
        <w:rPr>
          <w:rFonts w:ascii="Arial" w:hAnsi="Arial" w:cs="Arial"/>
          <w:sz w:val="22"/>
          <w:szCs w:val="22"/>
          <w:lang w:val="nl-NL"/>
        </w:rPr>
        <w:t>2025)</w:t>
      </w:r>
      <w:r w:rsidR="006F31E8" w:rsidRPr="00527FB3">
        <w:rPr>
          <w:rFonts w:ascii="Arial" w:hAnsi="Arial" w:cs="Arial"/>
          <w:sz w:val="22"/>
          <w:szCs w:val="22"/>
          <w:lang w:val="nl-NL"/>
        </w:rPr>
        <w:t xml:space="preserve">. </w:t>
      </w:r>
    </w:p>
    <w:p w14:paraId="79071299" w14:textId="5AED37C1" w:rsidR="00A83F01" w:rsidRPr="00527FB3" w:rsidRDefault="0079796E" w:rsidP="00A83F01">
      <w:pPr>
        <w:spacing w:line="360" w:lineRule="auto"/>
        <w:rPr>
          <w:rFonts w:ascii="Arial" w:hAnsi="Arial" w:cs="Arial"/>
          <w:sz w:val="22"/>
          <w:szCs w:val="22"/>
          <w:lang w:val="nl-NL"/>
        </w:rPr>
      </w:pPr>
      <w:r w:rsidRPr="00527FB3">
        <w:rPr>
          <w:rFonts w:ascii="Arial" w:hAnsi="Arial" w:cs="Arial"/>
          <w:sz w:val="22"/>
          <w:szCs w:val="22"/>
          <w:lang w:val="nl-NL"/>
        </w:rPr>
        <w:t xml:space="preserve">Eén van de </w:t>
      </w:r>
      <w:r w:rsidR="00A80733">
        <w:rPr>
          <w:rFonts w:ascii="Arial" w:hAnsi="Arial" w:cs="Arial"/>
          <w:sz w:val="22"/>
          <w:szCs w:val="22"/>
          <w:lang w:val="nl-NL"/>
        </w:rPr>
        <w:t xml:space="preserve">meest </w:t>
      </w:r>
      <w:r w:rsidRPr="00527FB3">
        <w:rPr>
          <w:rFonts w:ascii="Arial" w:hAnsi="Arial" w:cs="Arial"/>
          <w:sz w:val="22"/>
          <w:szCs w:val="22"/>
          <w:lang w:val="nl-NL"/>
        </w:rPr>
        <w:t>onderzochte enzymatische biomarkers in speeksel is alpha-amylase, een hydrolytisch enzym dat wordt uitgeschieden door de speekselklieren en betrokken is bij de afbraak van zetmeel tot maltose en glucose</w:t>
      </w:r>
      <w:r w:rsidR="001B2B32" w:rsidRPr="00527FB3">
        <w:rPr>
          <w:rFonts w:ascii="Arial" w:hAnsi="Arial" w:cs="Arial"/>
          <w:sz w:val="22"/>
          <w:szCs w:val="22"/>
          <w:lang w:val="nl-NL"/>
        </w:rPr>
        <w:t xml:space="preserve">. </w:t>
      </w:r>
      <w:r w:rsidR="00A83F01">
        <w:rPr>
          <w:rFonts w:ascii="Arial" w:hAnsi="Arial" w:cs="Arial"/>
          <w:sz w:val="22"/>
          <w:szCs w:val="22"/>
          <w:lang w:val="nl-NL"/>
        </w:rPr>
        <w:t xml:space="preserve">Het </w:t>
      </w:r>
      <w:r w:rsidR="00A83F01">
        <w:rPr>
          <w:rFonts w:ascii="Arial" w:hAnsi="Arial" w:cs="Arial"/>
          <w:sz w:val="22"/>
          <w:szCs w:val="22"/>
          <w:lang w:val="nl-NL"/>
        </w:rPr>
        <w:t>enzym</w:t>
      </w:r>
      <w:r w:rsidR="00A83F01">
        <w:rPr>
          <w:rFonts w:ascii="Arial" w:hAnsi="Arial" w:cs="Arial"/>
          <w:sz w:val="22"/>
          <w:szCs w:val="22"/>
          <w:lang w:val="nl-NL"/>
        </w:rPr>
        <w:t xml:space="preserve"> wordt gecodeerd door </w:t>
      </w:r>
      <w:r w:rsidR="00A83F01">
        <w:rPr>
          <w:rFonts w:ascii="Arial" w:hAnsi="Arial" w:cs="Arial"/>
          <w:sz w:val="22"/>
          <w:szCs w:val="22"/>
          <w:lang w:val="nl-NL"/>
        </w:rPr>
        <w:t>het</w:t>
      </w:r>
      <w:r w:rsidR="00A83F01">
        <w:rPr>
          <w:rFonts w:ascii="Arial" w:hAnsi="Arial" w:cs="Arial"/>
          <w:sz w:val="22"/>
          <w:szCs w:val="22"/>
          <w:lang w:val="nl-NL"/>
        </w:rPr>
        <w:t xml:space="preserve"> AMY</w:t>
      </w:r>
      <w:r w:rsidR="00A83F01">
        <w:rPr>
          <w:rFonts w:ascii="Arial" w:hAnsi="Arial" w:cs="Arial"/>
          <w:sz w:val="22"/>
          <w:szCs w:val="22"/>
          <w:lang w:val="nl-NL"/>
        </w:rPr>
        <w:t>1-</w:t>
      </w:r>
      <w:r w:rsidR="00A83F01">
        <w:rPr>
          <w:rFonts w:ascii="Arial" w:hAnsi="Arial" w:cs="Arial"/>
          <w:sz w:val="22"/>
          <w:szCs w:val="22"/>
          <w:lang w:val="nl-NL"/>
        </w:rPr>
        <w:t>gen en bestaat uit 511 aminozuren</w:t>
      </w:r>
      <w:r w:rsidR="00A83F01">
        <w:rPr>
          <w:rFonts w:ascii="Arial" w:hAnsi="Arial" w:cs="Arial"/>
          <w:sz w:val="22"/>
          <w:szCs w:val="22"/>
          <w:lang w:val="nl-NL"/>
        </w:rPr>
        <w:t xml:space="preserve">. Alpha-amylase is een </w:t>
      </w:r>
      <w:r w:rsidR="00A83F01">
        <w:rPr>
          <w:rFonts w:ascii="Arial" w:hAnsi="Arial" w:cs="Arial"/>
          <w:sz w:val="22"/>
          <w:szCs w:val="22"/>
          <w:lang w:val="nl-NL"/>
        </w:rPr>
        <w:t>calcium en c</w:t>
      </w:r>
      <w:r w:rsidR="00A83F01">
        <w:rPr>
          <w:rFonts w:ascii="Arial" w:hAnsi="Arial" w:cs="Arial"/>
          <w:sz w:val="22"/>
          <w:szCs w:val="22"/>
          <w:lang w:val="nl-NL"/>
        </w:rPr>
        <w:t>h</w:t>
      </w:r>
      <w:r w:rsidR="00A83F01">
        <w:rPr>
          <w:rFonts w:ascii="Arial" w:hAnsi="Arial" w:cs="Arial"/>
          <w:sz w:val="22"/>
          <w:szCs w:val="22"/>
          <w:lang w:val="nl-NL"/>
        </w:rPr>
        <w:t xml:space="preserve">loride bindend enzym </w:t>
      </w:r>
      <w:r w:rsidR="00A83F01">
        <w:rPr>
          <w:rFonts w:ascii="Arial" w:hAnsi="Arial" w:cs="Arial"/>
          <w:sz w:val="22"/>
          <w:szCs w:val="22"/>
          <w:lang w:val="nl-NL"/>
        </w:rPr>
        <w:t xml:space="preserve">en zijn essentieel voor de enzymatische stabiliteit en activiteit </w:t>
      </w:r>
      <w:r w:rsidR="00A83F01">
        <w:rPr>
          <w:rFonts w:ascii="Arial" w:hAnsi="Arial" w:cs="Arial"/>
          <w:sz w:val="22"/>
          <w:szCs w:val="22"/>
          <w:lang w:val="nl-NL"/>
        </w:rPr>
        <w:t>(</w:t>
      </w:r>
      <w:r w:rsidR="00A83F01" w:rsidRPr="00173F87">
        <w:rPr>
          <w:rFonts w:ascii="Arial" w:hAnsi="Arial" w:cs="Arial"/>
          <w:sz w:val="22"/>
          <w:szCs w:val="22"/>
          <w:lang w:val="nl-NL"/>
        </w:rPr>
        <w:t>Ramasubbu</w:t>
      </w:r>
      <w:r w:rsidR="00A83F01">
        <w:rPr>
          <w:rFonts w:ascii="Arial" w:hAnsi="Arial" w:cs="Arial"/>
          <w:sz w:val="22"/>
          <w:szCs w:val="22"/>
          <w:lang w:val="nl-NL"/>
        </w:rPr>
        <w:t xml:space="preserve"> et al., </w:t>
      </w:r>
      <w:r w:rsidR="00A83F01" w:rsidRPr="00173F87">
        <w:rPr>
          <w:rFonts w:ascii="Arial" w:hAnsi="Arial" w:cs="Arial"/>
          <w:sz w:val="22"/>
          <w:szCs w:val="22"/>
          <w:lang w:val="nl-NL"/>
        </w:rPr>
        <w:t>2003)</w:t>
      </w:r>
      <w:r w:rsidR="00A83F01">
        <w:rPr>
          <w:rFonts w:ascii="Arial" w:hAnsi="Arial" w:cs="Arial"/>
          <w:sz w:val="22"/>
          <w:szCs w:val="22"/>
          <w:lang w:val="nl-NL"/>
        </w:rPr>
        <w:t>.</w:t>
      </w:r>
    </w:p>
    <w:p w14:paraId="75E98A30" w14:textId="77777777" w:rsidR="00C52C26" w:rsidRDefault="00A83F01" w:rsidP="00527FB3">
      <w:pPr>
        <w:spacing w:line="360" w:lineRule="auto"/>
        <w:rPr>
          <w:rFonts w:ascii="Arial" w:hAnsi="Arial" w:cs="Arial"/>
          <w:sz w:val="22"/>
          <w:szCs w:val="22"/>
          <w:lang w:val="nl-NL"/>
        </w:rPr>
      </w:pPr>
      <w:r>
        <w:rPr>
          <w:rFonts w:ascii="Arial" w:hAnsi="Arial" w:cs="Arial"/>
          <w:sz w:val="22"/>
          <w:szCs w:val="22"/>
          <w:lang w:val="nl-NL"/>
        </w:rPr>
        <w:t xml:space="preserve">Alpha-amylase is één van de meest overvloedige eiwitten in speeksel en vormt ongeveer 10-20% van de totale speekseleiwitten </w:t>
      </w:r>
      <w:r w:rsidRPr="00A83F01">
        <w:rPr>
          <w:rFonts w:ascii="Arial" w:hAnsi="Arial" w:cs="Arial"/>
          <w:sz w:val="22"/>
          <w:szCs w:val="22"/>
          <w:lang w:val="nl-NL"/>
        </w:rPr>
        <w:t>(Arhakis et al., 2013).</w:t>
      </w:r>
      <w:r w:rsidR="00C52C26">
        <w:rPr>
          <w:rFonts w:ascii="Arial" w:hAnsi="Arial" w:cs="Arial"/>
          <w:sz w:val="22"/>
          <w:szCs w:val="22"/>
          <w:lang w:val="nl-NL"/>
        </w:rPr>
        <w:t xml:space="preserve"> De concentratie en activiteit van </w:t>
      </w:r>
      <w:r w:rsidR="001B2B32" w:rsidRPr="00527FB3">
        <w:rPr>
          <w:rFonts w:ascii="Arial" w:hAnsi="Arial" w:cs="Arial"/>
          <w:sz w:val="22"/>
          <w:szCs w:val="22"/>
          <w:lang w:val="nl-NL"/>
        </w:rPr>
        <w:t>alpha-amylase in het speeksel blijkt sterk te correleren met metabole processen, zoals glucosemetabolisme en ontstekings</w:t>
      </w:r>
      <w:r w:rsidR="00A80733">
        <w:rPr>
          <w:rFonts w:ascii="Arial" w:hAnsi="Arial" w:cs="Arial"/>
          <w:sz w:val="22"/>
          <w:szCs w:val="22"/>
          <w:lang w:val="nl-NL"/>
        </w:rPr>
        <w:t xml:space="preserve">. </w:t>
      </w:r>
      <w:r w:rsidR="001B2B32" w:rsidRPr="00527FB3">
        <w:rPr>
          <w:rFonts w:ascii="Arial" w:hAnsi="Arial" w:cs="Arial"/>
          <w:sz w:val="22"/>
          <w:szCs w:val="22"/>
          <w:lang w:val="nl-NL"/>
        </w:rPr>
        <w:t>Deze spelen ook een rol in het metabool syndroom (Erta et al., 2025).</w:t>
      </w:r>
    </w:p>
    <w:p w14:paraId="03B0096C" w14:textId="0F9703F8" w:rsidR="00C52C26" w:rsidRDefault="001E30ED" w:rsidP="00527FB3">
      <w:pPr>
        <w:spacing w:line="360" w:lineRule="auto"/>
        <w:rPr>
          <w:rFonts w:ascii="Arial" w:hAnsi="Arial" w:cs="Arial"/>
          <w:sz w:val="22"/>
          <w:szCs w:val="22"/>
          <w:lang w:val="nl-NL"/>
        </w:rPr>
      </w:pPr>
      <w:r>
        <w:rPr>
          <w:rFonts w:ascii="Arial" w:hAnsi="Arial" w:cs="Arial"/>
          <w:sz w:val="22"/>
          <w:szCs w:val="22"/>
          <w:lang w:val="nl-NL"/>
        </w:rPr>
        <w:lastRenderedPageBreak/>
        <w:t xml:space="preserve">In hoeverre de concentratie en activiteit van alpha amylase in verband staat met metabool syndroom is echter nog geen hard bewijs voor. </w:t>
      </w:r>
      <w:r w:rsidR="00C52C26">
        <w:rPr>
          <w:rFonts w:ascii="Arial" w:hAnsi="Arial" w:cs="Arial"/>
          <w:sz w:val="22"/>
          <w:szCs w:val="22"/>
          <w:lang w:val="nl-NL"/>
        </w:rPr>
        <w:t xml:space="preserve">In een studie van </w:t>
      </w:r>
      <w:r w:rsidR="00C52C26" w:rsidRPr="00BA7346">
        <w:rPr>
          <w:rFonts w:ascii="Arial" w:hAnsi="Arial" w:cs="Arial"/>
          <w:sz w:val="22"/>
          <w:szCs w:val="22"/>
          <w:lang w:val="nl-NL"/>
        </w:rPr>
        <w:t>Al-Akl</w:t>
      </w:r>
      <w:r w:rsidR="00C52C26">
        <w:rPr>
          <w:rFonts w:ascii="Arial" w:hAnsi="Arial" w:cs="Arial"/>
          <w:sz w:val="22"/>
          <w:szCs w:val="22"/>
          <w:lang w:val="nl-NL"/>
        </w:rPr>
        <w:t xml:space="preserve"> et al.</w:t>
      </w:r>
      <w:r w:rsidR="00C52C26" w:rsidRPr="00BA7346">
        <w:rPr>
          <w:rFonts w:ascii="Arial" w:hAnsi="Arial" w:cs="Arial"/>
          <w:sz w:val="22"/>
          <w:szCs w:val="22"/>
          <w:lang w:val="nl-NL"/>
        </w:rPr>
        <w:t xml:space="preserve"> (2020)</w:t>
      </w:r>
      <w:r w:rsidR="00C52C26">
        <w:rPr>
          <w:rFonts w:ascii="Arial" w:hAnsi="Arial" w:cs="Arial"/>
          <w:sz w:val="22"/>
          <w:szCs w:val="22"/>
          <w:lang w:val="nl-NL"/>
        </w:rPr>
        <w:t xml:space="preserve"> werd aangetoond dat mannen met een lage plasmaconcentratie van alpha-amylase significant hogere markers van adipositat vertoonden, zoals BMI, vetmassa, visceraal vet en middelomtrek vergeleken met mannen met een hoger alpha amylkase conentratie. Deze bevindingen ondedrsteunt het idee dat een vermidnerde alpha-amylaseactiviteit mogelijk samenhangt met metabole dysfunctie.</w:t>
      </w:r>
      <w:r>
        <w:rPr>
          <w:rFonts w:ascii="Arial" w:hAnsi="Arial" w:cs="Arial"/>
          <w:sz w:val="22"/>
          <w:szCs w:val="22"/>
          <w:lang w:val="nl-NL"/>
        </w:rPr>
        <w:t xml:space="preserve"> In een andere studie van</w:t>
      </w:r>
      <w:r w:rsidR="00C52C26">
        <w:rPr>
          <w:rFonts w:ascii="Arial" w:hAnsi="Arial" w:cs="Arial"/>
          <w:sz w:val="22"/>
          <w:szCs w:val="22"/>
          <w:lang w:val="nl-NL"/>
        </w:rPr>
        <w:t xml:space="preserve"> </w:t>
      </w:r>
      <w:r w:rsidR="00C52C26" w:rsidRPr="00C52C26">
        <w:rPr>
          <w:rFonts w:ascii="Arial" w:hAnsi="Arial" w:cs="Arial"/>
          <w:sz w:val="22"/>
          <w:szCs w:val="22"/>
          <w:lang w:val="nl-NL"/>
        </w:rPr>
        <w:t>Viljakainen</w:t>
      </w:r>
      <w:r w:rsidR="00C52C26">
        <w:rPr>
          <w:rFonts w:ascii="Arial" w:hAnsi="Arial" w:cs="Arial"/>
          <w:sz w:val="22"/>
          <w:szCs w:val="22"/>
          <w:lang w:val="nl-NL"/>
        </w:rPr>
        <w:t xml:space="preserve"> et al.</w:t>
      </w:r>
      <w:r w:rsidR="00C52C26" w:rsidRPr="00C52C26">
        <w:rPr>
          <w:rFonts w:ascii="Arial" w:hAnsi="Arial" w:cs="Arial"/>
          <w:sz w:val="22"/>
          <w:szCs w:val="22"/>
          <w:lang w:val="nl-NL"/>
        </w:rPr>
        <w:t xml:space="preserve"> (2015)</w:t>
      </w:r>
      <w:r w:rsidR="00C52C26">
        <w:rPr>
          <w:rFonts w:ascii="Arial" w:hAnsi="Arial" w:cs="Arial"/>
          <w:sz w:val="22"/>
          <w:szCs w:val="22"/>
          <w:lang w:val="nl-NL"/>
        </w:rPr>
        <w:t xml:space="preserve"> </w:t>
      </w:r>
      <w:r>
        <w:rPr>
          <w:rFonts w:ascii="Arial" w:hAnsi="Arial" w:cs="Arial"/>
          <w:sz w:val="22"/>
          <w:szCs w:val="22"/>
          <w:lang w:val="nl-NL"/>
        </w:rPr>
        <w:t xml:space="preserve">is een ander verband te zien, mogelijk afhankelijk van populatieverschillen (leeftijd, etniciteit, obesita-geschiedenis). </w:t>
      </w:r>
    </w:p>
    <w:p w14:paraId="6C255F56" w14:textId="5B888EB1" w:rsidR="00173F87" w:rsidRDefault="00A80733" w:rsidP="00527FB3">
      <w:pPr>
        <w:spacing w:line="360" w:lineRule="auto"/>
        <w:rPr>
          <w:rFonts w:ascii="Arial" w:hAnsi="Arial" w:cs="Arial"/>
          <w:sz w:val="22"/>
          <w:szCs w:val="22"/>
          <w:lang w:val="nl-NL"/>
        </w:rPr>
      </w:pPr>
      <w:r w:rsidRPr="00A80733">
        <w:rPr>
          <w:rFonts w:ascii="Arial" w:hAnsi="Arial" w:cs="Arial"/>
          <w:sz w:val="22"/>
          <w:szCs w:val="22"/>
          <w:lang w:val="nl-NL"/>
        </w:rPr>
        <w:t xml:space="preserve">Erta et al. (2025) benadrukt het belang voor </w:t>
      </w:r>
      <w:r>
        <w:rPr>
          <w:rFonts w:ascii="Arial" w:hAnsi="Arial" w:cs="Arial"/>
          <w:sz w:val="22"/>
          <w:szCs w:val="22"/>
          <w:lang w:val="nl-NL"/>
        </w:rPr>
        <w:t xml:space="preserve">de reproduceerdbaarheid, </w:t>
      </w:r>
      <w:r w:rsidRPr="00A80733">
        <w:rPr>
          <w:rFonts w:ascii="Arial" w:hAnsi="Arial" w:cs="Arial"/>
          <w:sz w:val="22"/>
          <w:szCs w:val="22"/>
          <w:lang w:val="nl-NL"/>
        </w:rPr>
        <w:t>het s</w:t>
      </w:r>
      <w:r>
        <w:rPr>
          <w:rFonts w:ascii="Arial" w:hAnsi="Arial" w:cs="Arial"/>
          <w:sz w:val="22"/>
          <w:szCs w:val="22"/>
          <w:lang w:val="nl-NL"/>
        </w:rPr>
        <w:t>tandaardiseren en het valideren van methoden om speeksel alpha-amylase te gebruikten alsmetabolische biomarker</w:t>
      </w:r>
      <w:r w:rsidR="00C52C26">
        <w:rPr>
          <w:rFonts w:ascii="Arial" w:hAnsi="Arial" w:cs="Arial"/>
          <w:sz w:val="22"/>
          <w:szCs w:val="22"/>
          <w:lang w:val="nl-NL"/>
        </w:rPr>
        <w:t>. Variatie in studies worden verklaard door de vershcillen in verzamelmethode, opslagconditie en verwerking van het spe</w:t>
      </w:r>
      <w:r w:rsidR="001E30ED">
        <w:rPr>
          <w:rFonts w:ascii="Arial" w:hAnsi="Arial" w:cs="Arial"/>
          <w:sz w:val="22"/>
          <w:szCs w:val="22"/>
          <w:lang w:val="nl-NL"/>
        </w:rPr>
        <w:t>e</w:t>
      </w:r>
      <w:r w:rsidR="00C52C26">
        <w:rPr>
          <w:rFonts w:ascii="Arial" w:hAnsi="Arial" w:cs="Arial"/>
          <w:sz w:val="22"/>
          <w:szCs w:val="22"/>
          <w:lang w:val="nl-NL"/>
        </w:rPr>
        <w:t>ksel evenals biollogische factoren waarodner dieet en stress.</w:t>
      </w:r>
    </w:p>
    <w:p w14:paraId="143F9498" w14:textId="15097DE7" w:rsidR="00A80733" w:rsidRDefault="006B0074" w:rsidP="00527FB3">
      <w:pPr>
        <w:spacing w:line="360" w:lineRule="auto"/>
        <w:rPr>
          <w:rFonts w:ascii="Arial" w:hAnsi="Arial" w:cs="Arial"/>
          <w:sz w:val="22"/>
          <w:szCs w:val="22"/>
          <w:lang w:val="nl-NL"/>
        </w:rPr>
      </w:pPr>
      <w:r>
        <w:rPr>
          <w:rFonts w:ascii="Arial" w:hAnsi="Arial" w:cs="Arial"/>
          <w:sz w:val="22"/>
          <w:szCs w:val="22"/>
          <w:lang w:val="nl-NL"/>
        </w:rPr>
        <w:t>Daarnaast is de samenstelling van speeksel complex. Het bevat naa</w:t>
      </w:r>
      <w:r w:rsidR="00FD7D35">
        <w:rPr>
          <w:rFonts w:ascii="Arial" w:hAnsi="Arial" w:cs="Arial"/>
          <w:sz w:val="22"/>
          <w:szCs w:val="22"/>
          <w:lang w:val="nl-NL"/>
        </w:rPr>
        <w:t>st</w:t>
      </w:r>
      <w:r>
        <w:rPr>
          <w:rFonts w:ascii="Arial" w:hAnsi="Arial" w:cs="Arial"/>
          <w:sz w:val="22"/>
          <w:szCs w:val="22"/>
          <w:lang w:val="nl-NL"/>
        </w:rPr>
        <w:t xml:space="preserve"> alpha-amlase ook vershcillenden enzymen, waaronder proteasen. Deze proteasen, zoals matrix metalloproteinasen (MMP) </w:t>
      </w:r>
      <w:r w:rsidR="00A5532C">
        <w:rPr>
          <w:rFonts w:ascii="Arial" w:hAnsi="Arial" w:cs="Arial"/>
          <w:sz w:val="22"/>
          <w:szCs w:val="22"/>
          <w:lang w:val="nl-NL"/>
        </w:rPr>
        <w:t xml:space="preserve">kunnen mogelijk ook </w:t>
      </w:r>
      <w:r w:rsidR="00FD7D35">
        <w:rPr>
          <w:rFonts w:ascii="Arial" w:hAnsi="Arial" w:cs="Arial"/>
          <w:sz w:val="22"/>
          <w:szCs w:val="22"/>
          <w:lang w:val="nl-NL"/>
        </w:rPr>
        <w:t xml:space="preserve">op zichzelf </w:t>
      </w:r>
      <w:r w:rsidR="00A5532C">
        <w:rPr>
          <w:rFonts w:ascii="Arial" w:hAnsi="Arial" w:cs="Arial"/>
          <w:sz w:val="22"/>
          <w:szCs w:val="22"/>
          <w:lang w:val="nl-NL"/>
        </w:rPr>
        <w:t>een indicator zij</w:t>
      </w:r>
      <w:r w:rsidR="00FD7D35">
        <w:rPr>
          <w:rFonts w:ascii="Arial" w:hAnsi="Arial" w:cs="Arial"/>
          <w:sz w:val="22"/>
          <w:szCs w:val="22"/>
          <w:lang w:val="nl-NL"/>
        </w:rPr>
        <w:t>nj</w:t>
      </w:r>
      <w:r w:rsidR="00A5532C">
        <w:rPr>
          <w:rFonts w:ascii="Arial" w:hAnsi="Arial" w:cs="Arial"/>
          <w:sz w:val="22"/>
          <w:szCs w:val="22"/>
          <w:lang w:val="nl-NL"/>
        </w:rPr>
        <w:t xml:space="preserve"> voor metabole dysfunctie en als biomarker dienen </w:t>
      </w:r>
      <w:r w:rsidR="00A5532C" w:rsidRPr="00A5532C">
        <w:rPr>
          <w:rFonts w:ascii="Arial" w:hAnsi="Arial" w:cs="Arial"/>
          <w:sz w:val="22"/>
          <w:szCs w:val="22"/>
          <w:lang w:val="nl-NL"/>
        </w:rPr>
        <w:t>(Habobe et al., 2025).</w:t>
      </w:r>
      <w:r w:rsidR="00A5532C">
        <w:rPr>
          <w:rFonts w:ascii="Arial" w:hAnsi="Arial" w:cs="Arial"/>
          <w:sz w:val="22"/>
          <w:szCs w:val="22"/>
          <w:lang w:val="nl-NL"/>
        </w:rPr>
        <w:t xml:space="preserve"> Tegelijkertijd vormen proteasen een technische uitdaging hbij het gebruik van alpha-amylase als biomarker, omdat zuh dut enzym kunnen afbreken of inactiveren. Hierdoor kan de gemeten alpha-amylaseactiviteit lager uitvallen dan de werkelijke waarde, wat de betrouwbaarheid van de metingen vermidnert. Om die reden is het belangrijk te begrijpen in welke mate proteasen invloed hebben op de stabiliteit e activiteit van alpha-amylase in speeksel.</w:t>
      </w:r>
    </w:p>
    <w:p w14:paraId="111E4509" w14:textId="29B27186" w:rsidR="00602B6A" w:rsidRDefault="002F59F3" w:rsidP="00527FB3">
      <w:pPr>
        <w:spacing w:line="360" w:lineRule="auto"/>
        <w:rPr>
          <w:rFonts w:ascii="Arial" w:hAnsi="Arial" w:cs="Arial"/>
          <w:sz w:val="22"/>
          <w:szCs w:val="22"/>
          <w:lang w:val="nl-NL"/>
        </w:rPr>
      </w:pPr>
      <w:r>
        <w:rPr>
          <w:rFonts w:ascii="Arial" w:hAnsi="Arial" w:cs="Arial"/>
          <w:sz w:val="22"/>
          <w:szCs w:val="22"/>
          <w:lang w:val="nl-NL"/>
        </w:rPr>
        <w:t>Hoewel de anwezighid dne functies van alpha-amylase en proteasen in speeksel zijn beschreven, is er nog weinig bekend over de interactie tussen deze enzymen. Het is onduidelijk in welke mate endogene proteasen bijdragen aan de afbraak of inactivatie van alpha-amylase in speekselmonsters en hoe dit de betrouwbaarheid van de speekselmetingen beïnvloedt.</w:t>
      </w:r>
      <w:r w:rsidR="00602B6A">
        <w:rPr>
          <w:rFonts w:ascii="Arial" w:hAnsi="Arial" w:cs="Arial"/>
          <w:sz w:val="22"/>
          <w:szCs w:val="22"/>
          <w:lang w:val="nl-NL"/>
        </w:rPr>
        <w:br/>
        <w:t>Daarnaast ontbreken er gestandaardiseerde methoden om deze interactie kwantitatief te beoordelen. De meeste bestaande studies richten zich op de totale enzymactiviteit, maar niet op de dynamiek van afbraak of stabiliteit van alpha-amytlase onder invloed van proteolytische activiteit.</w:t>
      </w:r>
    </w:p>
    <w:p w14:paraId="208BCAAB" w14:textId="07B363BD" w:rsidR="00602B6A" w:rsidRDefault="00602B6A" w:rsidP="00527FB3">
      <w:pPr>
        <w:spacing w:line="360" w:lineRule="auto"/>
        <w:rPr>
          <w:rFonts w:ascii="Arial" w:hAnsi="Arial" w:cs="Arial"/>
          <w:sz w:val="22"/>
          <w:szCs w:val="22"/>
          <w:lang w:val="nl-NL"/>
        </w:rPr>
      </w:pPr>
      <w:r>
        <w:rPr>
          <w:rFonts w:ascii="Arial" w:hAnsi="Arial" w:cs="Arial"/>
          <w:sz w:val="22"/>
          <w:szCs w:val="22"/>
          <w:lang w:val="nl-NL"/>
        </w:rPr>
        <w:t xml:space="preserve">Om dit beter te begrijpen, wordt in dit onderzoeke gekeken naar de proteaseactiviteit in speeksel en de invoed hiervan op de alpha-amylase activiteit. Dit gebeurt met behulp van een </w:t>
      </w:r>
      <w:r w:rsidR="00DC7114">
        <w:rPr>
          <w:rFonts w:ascii="Arial" w:hAnsi="Arial" w:cs="Arial"/>
          <w:sz w:val="22"/>
          <w:szCs w:val="22"/>
          <w:lang w:val="nl-NL"/>
        </w:rPr>
        <w:t xml:space="preserve">FRET en CNPG3 assay. De resultaten van dit odnerzoek kunnen bijdragen aan het </w:t>
      </w:r>
      <w:r w:rsidR="00DC7114">
        <w:rPr>
          <w:rFonts w:ascii="Arial" w:hAnsi="Arial" w:cs="Arial"/>
          <w:sz w:val="22"/>
          <w:szCs w:val="22"/>
          <w:lang w:val="nl-NL"/>
        </w:rPr>
        <w:lastRenderedPageBreak/>
        <w:t>ontwikkelen van betrouwbaardere analyses voor speeksel-biomarkers en beter begrip van hoe enzymatische afbraak de diagnostische waarde van deze biomarkers beïnvloedt in bijvvoorbeeld, maar niet beperkt tot, metabool syndroom.</w:t>
      </w:r>
    </w:p>
    <w:p w14:paraId="7DB4E011" w14:textId="77777777" w:rsidR="00A80733" w:rsidRPr="00A80733" w:rsidRDefault="00A80733" w:rsidP="00527FB3">
      <w:pPr>
        <w:spacing w:line="360" w:lineRule="auto"/>
        <w:rPr>
          <w:rFonts w:ascii="Arial" w:hAnsi="Arial" w:cs="Arial"/>
          <w:sz w:val="22"/>
          <w:szCs w:val="22"/>
          <w:lang w:val="nl-NL"/>
        </w:rPr>
      </w:pPr>
    </w:p>
    <w:p w14:paraId="4047C1A5" w14:textId="53FEAC50" w:rsidR="00407FDC" w:rsidRPr="00A80733" w:rsidRDefault="00407FDC" w:rsidP="00527FB3">
      <w:pPr>
        <w:spacing w:line="360" w:lineRule="auto"/>
        <w:rPr>
          <w:rFonts w:ascii="Arial" w:hAnsi="Arial" w:cs="Arial"/>
          <w:sz w:val="22"/>
          <w:szCs w:val="22"/>
          <w:lang w:val="nl-NL"/>
        </w:rPr>
      </w:pPr>
      <w:r w:rsidRPr="00A80733">
        <w:rPr>
          <w:rFonts w:ascii="Arial" w:hAnsi="Arial" w:cs="Arial"/>
          <w:sz w:val="22"/>
          <w:szCs w:val="22"/>
          <w:lang w:val="nl-NL"/>
        </w:rPr>
        <w:br w:type="page"/>
      </w:r>
    </w:p>
    <w:p w14:paraId="00804F31" w14:textId="36219529" w:rsidR="00407FDC" w:rsidRPr="00527FB3" w:rsidRDefault="00407FDC" w:rsidP="00527FB3">
      <w:pPr>
        <w:spacing w:line="360" w:lineRule="auto"/>
        <w:rPr>
          <w:rFonts w:ascii="Arial" w:hAnsi="Arial" w:cs="Arial"/>
          <w:sz w:val="22"/>
          <w:szCs w:val="22"/>
          <w:lang w:val="nl-NL"/>
        </w:rPr>
      </w:pPr>
      <w:r w:rsidRPr="00527FB3">
        <w:rPr>
          <w:rFonts w:ascii="Arial" w:hAnsi="Arial" w:cs="Arial"/>
          <w:sz w:val="22"/>
          <w:szCs w:val="22"/>
          <w:lang w:val="nl-NL"/>
        </w:rPr>
        <w:lastRenderedPageBreak/>
        <w:t>Literatuurlijst</w:t>
      </w:r>
    </w:p>
    <w:p w14:paraId="6C3717EE" w14:textId="5E86CC65" w:rsidR="00BA7346" w:rsidRDefault="00BA7346" w:rsidP="00527FB3">
      <w:pPr>
        <w:spacing w:line="360" w:lineRule="auto"/>
        <w:rPr>
          <w:rFonts w:ascii="Arial" w:hAnsi="Arial" w:cs="Arial"/>
          <w:sz w:val="22"/>
          <w:szCs w:val="22"/>
          <w:lang w:val="nl-NL"/>
        </w:rPr>
      </w:pPr>
      <w:r w:rsidRPr="00BA7346">
        <w:rPr>
          <w:rFonts w:ascii="Arial" w:hAnsi="Arial" w:cs="Arial"/>
          <w:sz w:val="22"/>
          <w:szCs w:val="22"/>
        </w:rPr>
        <w:t xml:space="preserve">Al-Akl, N., Thompson, R. I., &amp; </w:t>
      </w:r>
      <w:proofErr w:type="spellStart"/>
      <w:r w:rsidRPr="00BA7346">
        <w:rPr>
          <w:rFonts w:ascii="Arial" w:hAnsi="Arial" w:cs="Arial"/>
          <w:sz w:val="22"/>
          <w:szCs w:val="22"/>
        </w:rPr>
        <w:t>Arredouani</w:t>
      </w:r>
      <w:proofErr w:type="spellEnd"/>
      <w:r w:rsidRPr="00BA7346">
        <w:rPr>
          <w:rFonts w:ascii="Arial" w:hAnsi="Arial" w:cs="Arial"/>
          <w:sz w:val="22"/>
          <w:szCs w:val="22"/>
        </w:rPr>
        <w:t xml:space="preserve">, A. (2020). High plasma salivary </w:t>
      </w:r>
      <w:r w:rsidRPr="00BA7346">
        <w:rPr>
          <w:rFonts w:ascii="Arial" w:hAnsi="Arial" w:cs="Arial"/>
          <w:sz w:val="22"/>
          <w:szCs w:val="22"/>
          <w:lang w:val="nl-NL"/>
        </w:rPr>
        <w:t>α</w:t>
      </w:r>
      <w:r w:rsidRPr="00BA7346">
        <w:rPr>
          <w:rFonts w:ascii="Arial" w:hAnsi="Arial" w:cs="Arial"/>
          <w:sz w:val="22"/>
          <w:szCs w:val="22"/>
        </w:rPr>
        <w:t xml:space="preserve">-amylase, but not high AMY1 copy number, associated with low obesity rate in Qatari adults: cross-sectional study. </w:t>
      </w:r>
      <w:r w:rsidRPr="00BA7346">
        <w:rPr>
          <w:rFonts w:ascii="Arial" w:hAnsi="Arial" w:cs="Arial"/>
          <w:sz w:val="22"/>
          <w:szCs w:val="22"/>
          <w:lang w:val="nl-NL"/>
        </w:rPr>
        <w:t xml:space="preserve">Scientific reports, 10(1), 17918. </w:t>
      </w:r>
      <w:r>
        <w:rPr>
          <w:rFonts w:ascii="Arial" w:hAnsi="Arial" w:cs="Arial"/>
          <w:sz w:val="22"/>
          <w:szCs w:val="22"/>
          <w:lang w:val="nl-NL"/>
        </w:rPr>
        <w:fldChar w:fldCharType="begin"/>
      </w:r>
      <w:r>
        <w:rPr>
          <w:rFonts w:ascii="Arial" w:hAnsi="Arial" w:cs="Arial"/>
          <w:sz w:val="22"/>
          <w:szCs w:val="22"/>
          <w:lang w:val="nl-NL"/>
        </w:rPr>
        <w:instrText>HYPERLINK "</w:instrText>
      </w:r>
      <w:r w:rsidRPr="00BA7346">
        <w:rPr>
          <w:rFonts w:ascii="Arial" w:hAnsi="Arial" w:cs="Arial"/>
          <w:sz w:val="22"/>
          <w:szCs w:val="22"/>
          <w:lang w:val="nl-NL"/>
        </w:rPr>
        <w:instrText>https://doi.org/10.1038/s41598-020-74864-6</w:instrText>
      </w:r>
      <w:r>
        <w:rPr>
          <w:rFonts w:ascii="Arial" w:hAnsi="Arial" w:cs="Arial"/>
          <w:sz w:val="22"/>
          <w:szCs w:val="22"/>
          <w:lang w:val="nl-NL"/>
        </w:rPr>
        <w:instrText>"</w:instrText>
      </w:r>
      <w:r>
        <w:rPr>
          <w:rFonts w:ascii="Arial" w:hAnsi="Arial" w:cs="Arial"/>
          <w:sz w:val="22"/>
          <w:szCs w:val="22"/>
          <w:lang w:val="nl-NL"/>
        </w:rPr>
        <w:fldChar w:fldCharType="separate"/>
      </w:r>
      <w:r w:rsidRPr="00CA342F">
        <w:rPr>
          <w:rStyle w:val="Hyperlink"/>
          <w:rFonts w:ascii="Arial" w:hAnsi="Arial" w:cs="Arial"/>
          <w:sz w:val="22"/>
          <w:szCs w:val="22"/>
          <w:lang w:val="nl-NL"/>
        </w:rPr>
        <w:t>https://doi.org/10.1038/s41598-020-74864-6</w:t>
      </w:r>
      <w:r>
        <w:rPr>
          <w:rFonts w:ascii="Arial" w:hAnsi="Arial" w:cs="Arial"/>
          <w:sz w:val="22"/>
          <w:szCs w:val="22"/>
          <w:lang w:val="nl-NL"/>
        </w:rPr>
        <w:fldChar w:fldCharType="end"/>
      </w:r>
    </w:p>
    <w:p w14:paraId="04CA628B" w14:textId="124B4231" w:rsidR="001B2B32" w:rsidRPr="00527FB3" w:rsidRDefault="001B2B32" w:rsidP="00527FB3">
      <w:pPr>
        <w:spacing w:line="360" w:lineRule="auto"/>
        <w:rPr>
          <w:rFonts w:ascii="Arial" w:hAnsi="Arial" w:cs="Arial"/>
          <w:sz w:val="22"/>
          <w:szCs w:val="22"/>
        </w:rPr>
      </w:pPr>
      <w:r w:rsidRPr="00527FB3">
        <w:rPr>
          <w:rFonts w:ascii="Arial" w:hAnsi="Arial" w:cs="Arial"/>
          <w:sz w:val="22"/>
          <w:szCs w:val="22"/>
          <w:lang w:val="nl-NL"/>
        </w:rPr>
        <w:t xml:space="preserve">Arhakis, A., Karagiannis, V., &amp; Kalfas, S. (2013). </w:t>
      </w:r>
      <w:r w:rsidRPr="00527FB3">
        <w:rPr>
          <w:rFonts w:ascii="Arial" w:hAnsi="Arial" w:cs="Arial"/>
          <w:sz w:val="22"/>
          <w:szCs w:val="22"/>
        </w:rPr>
        <w:t xml:space="preserve">Salivary alpha-amylase activity and salivary flow rate in young adults. The open dentistry journal, 7, 7–15. </w:t>
      </w:r>
      <w:hyperlink r:id="rId4" w:history="1">
        <w:r w:rsidRPr="00527FB3">
          <w:rPr>
            <w:rStyle w:val="Hyperlink"/>
            <w:rFonts w:ascii="Arial" w:hAnsi="Arial" w:cs="Arial"/>
            <w:sz w:val="22"/>
            <w:szCs w:val="22"/>
          </w:rPr>
          <w:t>https://doi.org/10.2174/1874210601307010007</w:t>
        </w:r>
      </w:hyperlink>
    </w:p>
    <w:p w14:paraId="57239B5A" w14:textId="6A922CB7" w:rsidR="00543D00" w:rsidRPr="00527FB3" w:rsidRDefault="001B2B32" w:rsidP="00527FB3">
      <w:pPr>
        <w:spacing w:line="360" w:lineRule="auto"/>
        <w:rPr>
          <w:rFonts w:ascii="Arial" w:hAnsi="Arial" w:cs="Arial"/>
          <w:sz w:val="22"/>
          <w:szCs w:val="22"/>
          <w:lang w:val="nl-NL"/>
        </w:rPr>
      </w:pPr>
      <w:r w:rsidRPr="00527FB3">
        <w:rPr>
          <w:rFonts w:ascii="Arial" w:hAnsi="Arial" w:cs="Arial"/>
          <w:sz w:val="22"/>
          <w:szCs w:val="22"/>
        </w:rPr>
        <w:t>D</w:t>
      </w:r>
      <w:r w:rsidR="00543D00" w:rsidRPr="00527FB3">
        <w:rPr>
          <w:rFonts w:ascii="Arial" w:hAnsi="Arial" w:cs="Arial"/>
          <w:sz w:val="22"/>
          <w:szCs w:val="22"/>
        </w:rPr>
        <w:t xml:space="preserve">e Simone, G., Devereux, R. B., </w:t>
      </w:r>
      <w:proofErr w:type="spellStart"/>
      <w:r w:rsidR="00543D00" w:rsidRPr="00527FB3">
        <w:rPr>
          <w:rFonts w:ascii="Arial" w:hAnsi="Arial" w:cs="Arial"/>
          <w:sz w:val="22"/>
          <w:szCs w:val="22"/>
        </w:rPr>
        <w:t>Chinali</w:t>
      </w:r>
      <w:proofErr w:type="spellEnd"/>
      <w:r w:rsidR="00543D00" w:rsidRPr="00527FB3">
        <w:rPr>
          <w:rFonts w:ascii="Arial" w:hAnsi="Arial" w:cs="Arial"/>
          <w:sz w:val="22"/>
          <w:szCs w:val="22"/>
        </w:rPr>
        <w:t xml:space="preserve">, M., Best, L. G., Lee, E. T., Galloway, J. M., Resnick, H. E., &amp; Strong Heart Study Investigators (2007). Prognostic impact of metabolic syndrome by different definitions in a population with high prevalence of obesity and diabetes: the Strong Heart Study. </w:t>
      </w:r>
      <w:r w:rsidR="00543D00" w:rsidRPr="00527FB3">
        <w:rPr>
          <w:rFonts w:ascii="Arial" w:hAnsi="Arial" w:cs="Arial"/>
          <w:sz w:val="22"/>
          <w:szCs w:val="22"/>
          <w:lang w:val="nl-NL"/>
        </w:rPr>
        <w:t xml:space="preserve">Diabetes care, 30(7), 1851–1856. </w:t>
      </w:r>
      <w:r w:rsidR="008B590E" w:rsidRPr="00527FB3">
        <w:rPr>
          <w:rFonts w:ascii="Arial" w:hAnsi="Arial" w:cs="Arial"/>
          <w:sz w:val="22"/>
          <w:szCs w:val="22"/>
          <w:lang w:val="nl-NL"/>
        </w:rPr>
        <w:fldChar w:fldCharType="begin"/>
      </w:r>
      <w:r w:rsidR="008B590E" w:rsidRPr="00527FB3">
        <w:rPr>
          <w:rFonts w:ascii="Arial" w:hAnsi="Arial" w:cs="Arial"/>
          <w:sz w:val="22"/>
          <w:szCs w:val="22"/>
          <w:lang w:val="nl-NL"/>
        </w:rPr>
        <w:instrText>HYPERLINK "</w:instrText>
      </w:r>
      <w:r w:rsidR="008B590E" w:rsidRPr="00527FB3">
        <w:rPr>
          <w:rFonts w:ascii="Arial" w:hAnsi="Arial" w:cs="Arial"/>
          <w:sz w:val="22"/>
          <w:szCs w:val="22"/>
          <w:lang w:val="nl-NL"/>
        </w:rPr>
        <w:instrText>https://doi.org/10.2337/dc06-2152</w:instrText>
      </w:r>
      <w:r w:rsidR="008B590E" w:rsidRPr="00527FB3">
        <w:rPr>
          <w:rFonts w:ascii="Arial" w:hAnsi="Arial" w:cs="Arial"/>
          <w:sz w:val="22"/>
          <w:szCs w:val="22"/>
          <w:lang w:val="nl-NL"/>
        </w:rPr>
        <w:instrText>"</w:instrText>
      </w:r>
      <w:r w:rsidR="008B590E" w:rsidRPr="00527FB3">
        <w:rPr>
          <w:rFonts w:ascii="Arial" w:hAnsi="Arial" w:cs="Arial"/>
          <w:sz w:val="22"/>
          <w:szCs w:val="22"/>
          <w:lang w:val="nl-NL"/>
        </w:rPr>
        <w:fldChar w:fldCharType="separate"/>
      </w:r>
      <w:r w:rsidR="008B590E" w:rsidRPr="00527FB3">
        <w:rPr>
          <w:rStyle w:val="Hyperlink"/>
          <w:rFonts w:ascii="Arial" w:hAnsi="Arial" w:cs="Arial"/>
          <w:sz w:val="22"/>
          <w:szCs w:val="22"/>
          <w:lang w:val="nl-NL"/>
        </w:rPr>
        <w:t>https://doi.org/10.2337/dc06-2152</w:t>
      </w:r>
      <w:r w:rsidR="008B590E" w:rsidRPr="00527FB3">
        <w:rPr>
          <w:rFonts w:ascii="Arial" w:hAnsi="Arial" w:cs="Arial"/>
          <w:sz w:val="22"/>
          <w:szCs w:val="22"/>
          <w:lang w:val="nl-NL"/>
        </w:rPr>
        <w:fldChar w:fldCharType="end"/>
      </w:r>
    </w:p>
    <w:p w14:paraId="6CD65C54" w14:textId="3BBE02BF" w:rsidR="001B2B32" w:rsidRPr="00527FB3" w:rsidRDefault="001B2B32" w:rsidP="00527FB3">
      <w:pPr>
        <w:spacing w:line="360" w:lineRule="auto"/>
        <w:rPr>
          <w:rFonts w:ascii="Arial" w:hAnsi="Arial" w:cs="Arial"/>
          <w:sz w:val="22"/>
          <w:szCs w:val="22"/>
          <w:lang w:val="nl-NL"/>
        </w:rPr>
      </w:pPr>
      <w:r w:rsidRPr="00527FB3">
        <w:rPr>
          <w:rFonts w:ascii="Arial" w:hAnsi="Arial" w:cs="Arial"/>
          <w:sz w:val="22"/>
          <w:szCs w:val="22"/>
        </w:rPr>
        <w:t xml:space="preserve">Erta G, </w:t>
      </w:r>
      <w:proofErr w:type="spellStart"/>
      <w:r w:rsidRPr="00527FB3">
        <w:rPr>
          <w:rFonts w:ascii="Arial" w:hAnsi="Arial" w:cs="Arial"/>
          <w:sz w:val="22"/>
          <w:szCs w:val="22"/>
        </w:rPr>
        <w:t>Gersone</w:t>
      </w:r>
      <w:proofErr w:type="spellEnd"/>
      <w:r w:rsidRPr="00527FB3">
        <w:rPr>
          <w:rFonts w:ascii="Arial" w:hAnsi="Arial" w:cs="Arial"/>
          <w:sz w:val="22"/>
          <w:szCs w:val="22"/>
        </w:rPr>
        <w:t xml:space="preserve"> G, Jurka A, </w:t>
      </w:r>
      <w:proofErr w:type="spellStart"/>
      <w:r w:rsidRPr="00527FB3">
        <w:rPr>
          <w:rFonts w:ascii="Arial" w:hAnsi="Arial" w:cs="Arial"/>
          <w:sz w:val="22"/>
          <w:szCs w:val="22"/>
        </w:rPr>
        <w:t>Tretjakovs</w:t>
      </w:r>
      <w:proofErr w:type="spellEnd"/>
      <w:r w:rsidRPr="00527FB3">
        <w:rPr>
          <w:rFonts w:ascii="Arial" w:hAnsi="Arial" w:cs="Arial"/>
          <w:sz w:val="22"/>
          <w:szCs w:val="22"/>
        </w:rPr>
        <w:t xml:space="preserve"> P. Salivary </w:t>
      </w:r>
      <w:r w:rsidRPr="00527FB3">
        <w:rPr>
          <w:rFonts w:ascii="Arial" w:hAnsi="Arial" w:cs="Arial"/>
          <w:sz w:val="22"/>
          <w:szCs w:val="22"/>
          <w:lang w:val="nl-NL"/>
        </w:rPr>
        <w:t>α</w:t>
      </w:r>
      <w:r w:rsidRPr="00527FB3">
        <w:rPr>
          <w:rFonts w:ascii="Arial" w:hAnsi="Arial" w:cs="Arial"/>
          <w:sz w:val="22"/>
          <w:szCs w:val="22"/>
        </w:rPr>
        <w:t xml:space="preserve">-Amylase as a Metabolic Biomarker: Analytical Tools, Challenges, and Clinical Perspectives. </w:t>
      </w:r>
      <w:r w:rsidRPr="00527FB3">
        <w:rPr>
          <w:rFonts w:ascii="Arial" w:hAnsi="Arial" w:cs="Arial"/>
          <w:sz w:val="22"/>
          <w:szCs w:val="22"/>
          <w:lang w:val="nl-NL"/>
        </w:rPr>
        <w:t>Int J Mol Sci. 2025 Jul 30;26(15):7365. doi: 10.3390/ijms26157365. PMID: 40806495; PMCID: PMC12347534.</w:t>
      </w:r>
    </w:p>
    <w:p w14:paraId="39B41ED2" w14:textId="616757E8" w:rsidR="008B590E" w:rsidRPr="00527FB3" w:rsidRDefault="008B590E" w:rsidP="00527FB3">
      <w:pPr>
        <w:spacing w:line="360" w:lineRule="auto"/>
        <w:rPr>
          <w:rFonts w:ascii="Arial" w:hAnsi="Arial" w:cs="Arial"/>
          <w:sz w:val="22"/>
          <w:szCs w:val="22"/>
        </w:rPr>
      </w:pPr>
      <w:r w:rsidRPr="00527FB3">
        <w:rPr>
          <w:rFonts w:ascii="Arial" w:hAnsi="Arial" w:cs="Arial"/>
          <w:sz w:val="22"/>
          <w:szCs w:val="22"/>
          <w:lang w:val="nl-NL"/>
        </w:rPr>
        <w:t xml:space="preserve">Habobe, H. A., Pieters, R. H. H., &amp; Bikker, F. J. (2025). </w:t>
      </w:r>
      <w:r w:rsidRPr="00527FB3">
        <w:rPr>
          <w:rFonts w:ascii="Arial" w:hAnsi="Arial" w:cs="Arial"/>
          <w:sz w:val="22"/>
          <w:szCs w:val="22"/>
        </w:rPr>
        <w:t>Investigating the Salivary Biomarker Profile in Obesity: A Systematic Review. </w:t>
      </w:r>
      <w:r w:rsidRPr="00527FB3">
        <w:rPr>
          <w:rFonts w:ascii="Arial" w:hAnsi="Arial" w:cs="Arial"/>
          <w:i/>
          <w:iCs/>
          <w:sz w:val="22"/>
          <w:szCs w:val="22"/>
        </w:rPr>
        <w:t>Current obesity reports</w:t>
      </w:r>
      <w:r w:rsidRPr="00527FB3">
        <w:rPr>
          <w:rFonts w:ascii="Arial" w:hAnsi="Arial" w:cs="Arial"/>
          <w:sz w:val="22"/>
          <w:szCs w:val="22"/>
        </w:rPr>
        <w:t>, </w:t>
      </w:r>
      <w:r w:rsidRPr="00527FB3">
        <w:rPr>
          <w:rFonts w:ascii="Arial" w:hAnsi="Arial" w:cs="Arial"/>
          <w:i/>
          <w:iCs/>
          <w:sz w:val="22"/>
          <w:szCs w:val="22"/>
        </w:rPr>
        <w:t>14</w:t>
      </w:r>
      <w:r w:rsidRPr="00527FB3">
        <w:rPr>
          <w:rFonts w:ascii="Arial" w:hAnsi="Arial" w:cs="Arial"/>
          <w:sz w:val="22"/>
          <w:szCs w:val="22"/>
        </w:rPr>
        <w:t xml:space="preserve">(1), 25. </w:t>
      </w:r>
      <w:hyperlink r:id="rId5" w:history="1">
        <w:r w:rsidR="001B2B32" w:rsidRPr="00527FB3">
          <w:rPr>
            <w:rStyle w:val="Hyperlink"/>
            <w:rFonts w:ascii="Arial" w:hAnsi="Arial" w:cs="Arial"/>
            <w:sz w:val="22"/>
            <w:szCs w:val="22"/>
          </w:rPr>
          <w:t>https://doi.org/10.1007/s13679-025-00618-y</w:t>
        </w:r>
      </w:hyperlink>
    </w:p>
    <w:p w14:paraId="22EB64F6" w14:textId="2623815C" w:rsidR="001B2B32" w:rsidRPr="00527FB3" w:rsidRDefault="007211F7" w:rsidP="00527FB3">
      <w:pPr>
        <w:spacing w:line="360" w:lineRule="auto"/>
        <w:rPr>
          <w:rFonts w:ascii="Arial" w:hAnsi="Arial" w:cs="Arial"/>
          <w:sz w:val="22"/>
          <w:szCs w:val="22"/>
        </w:rPr>
      </w:pPr>
      <w:proofErr w:type="spellStart"/>
      <w:r w:rsidRPr="00527FB3">
        <w:rPr>
          <w:rFonts w:ascii="Arial" w:hAnsi="Arial" w:cs="Arial"/>
          <w:sz w:val="22"/>
          <w:szCs w:val="22"/>
        </w:rPr>
        <w:t>Noubiap</w:t>
      </w:r>
      <w:proofErr w:type="spellEnd"/>
      <w:r w:rsidRPr="00527FB3">
        <w:rPr>
          <w:rFonts w:ascii="Arial" w:hAnsi="Arial" w:cs="Arial"/>
          <w:sz w:val="22"/>
          <w:szCs w:val="22"/>
        </w:rPr>
        <w:t xml:space="preserve">, J. J., </w:t>
      </w:r>
      <w:proofErr w:type="spellStart"/>
      <w:r w:rsidRPr="00527FB3">
        <w:rPr>
          <w:rFonts w:ascii="Arial" w:hAnsi="Arial" w:cs="Arial"/>
          <w:sz w:val="22"/>
          <w:szCs w:val="22"/>
        </w:rPr>
        <w:t>Nansseu</w:t>
      </w:r>
      <w:proofErr w:type="spellEnd"/>
      <w:r w:rsidRPr="00527FB3">
        <w:rPr>
          <w:rFonts w:ascii="Arial" w:hAnsi="Arial" w:cs="Arial"/>
          <w:sz w:val="22"/>
          <w:szCs w:val="22"/>
        </w:rPr>
        <w:t xml:space="preserve">, J. R., </w:t>
      </w:r>
      <w:proofErr w:type="spellStart"/>
      <w:r w:rsidRPr="00527FB3">
        <w:rPr>
          <w:rFonts w:ascii="Arial" w:hAnsi="Arial" w:cs="Arial"/>
          <w:sz w:val="22"/>
          <w:szCs w:val="22"/>
        </w:rPr>
        <w:t>Lontchi-Yimagou</w:t>
      </w:r>
      <w:proofErr w:type="spellEnd"/>
      <w:r w:rsidRPr="00527FB3">
        <w:rPr>
          <w:rFonts w:ascii="Arial" w:hAnsi="Arial" w:cs="Arial"/>
          <w:sz w:val="22"/>
          <w:szCs w:val="22"/>
        </w:rPr>
        <w:t xml:space="preserve">, E., </w:t>
      </w:r>
      <w:proofErr w:type="spellStart"/>
      <w:r w:rsidRPr="00527FB3">
        <w:rPr>
          <w:rFonts w:ascii="Arial" w:hAnsi="Arial" w:cs="Arial"/>
          <w:sz w:val="22"/>
          <w:szCs w:val="22"/>
        </w:rPr>
        <w:t>Nkeck</w:t>
      </w:r>
      <w:proofErr w:type="spellEnd"/>
      <w:r w:rsidRPr="00527FB3">
        <w:rPr>
          <w:rFonts w:ascii="Arial" w:hAnsi="Arial" w:cs="Arial"/>
          <w:sz w:val="22"/>
          <w:szCs w:val="22"/>
        </w:rPr>
        <w:t xml:space="preserve">, J. R., Nyaga, U. F., </w:t>
      </w:r>
      <w:proofErr w:type="spellStart"/>
      <w:r w:rsidRPr="00527FB3">
        <w:rPr>
          <w:rFonts w:ascii="Arial" w:hAnsi="Arial" w:cs="Arial"/>
          <w:sz w:val="22"/>
          <w:szCs w:val="22"/>
        </w:rPr>
        <w:t>Ngouo</w:t>
      </w:r>
      <w:proofErr w:type="spellEnd"/>
      <w:r w:rsidRPr="00527FB3">
        <w:rPr>
          <w:rFonts w:ascii="Arial" w:hAnsi="Arial" w:cs="Arial"/>
          <w:sz w:val="22"/>
          <w:szCs w:val="22"/>
        </w:rPr>
        <w:t xml:space="preserve">, A. T., </w:t>
      </w:r>
      <w:proofErr w:type="spellStart"/>
      <w:r w:rsidRPr="00527FB3">
        <w:rPr>
          <w:rFonts w:ascii="Arial" w:hAnsi="Arial" w:cs="Arial"/>
          <w:sz w:val="22"/>
          <w:szCs w:val="22"/>
        </w:rPr>
        <w:t>Tounouga</w:t>
      </w:r>
      <w:proofErr w:type="spellEnd"/>
      <w:r w:rsidRPr="00527FB3">
        <w:rPr>
          <w:rFonts w:ascii="Arial" w:hAnsi="Arial" w:cs="Arial"/>
          <w:sz w:val="22"/>
          <w:szCs w:val="22"/>
        </w:rPr>
        <w:t xml:space="preserve">, D. N., Tianyi, F. L., Foka, A. J., </w:t>
      </w:r>
      <w:proofErr w:type="spellStart"/>
      <w:r w:rsidRPr="00527FB3">
        <w:rPr>
          <w:rFonts w:ascii="Arial" w:hAnsi="Arial" w:cs="Arial"/>
          <w:sz w:val="22"/>
          <w:szCs w:val="22"/>
        </w:rPr>
        <w:t>Ndoadoumgue</w:t>
      </w:r>
      <w:proofErr w:type="spellEnd"/>
      <w:r w:rsidRPr="00527FB3">
        <w:rPr>
          <w:rFonts w:ascii="Arial" w:hAnsi="Arial" w:cs="Arial"/>
          <w:sz w:val="22"/>
          <w:szCs w:val="22"/>
        </w:rPr>
        <w:t xml:space="preserve">, A. L., &amp; </w:t>
      </w:r>
      <w:proofErr w:type="spellStart"/>
      <w:r w:rsidRPr="00527FB3">
        <w:rPr>
          <w:rFonts w:ascii="Arial" w:hAnsi="Arial" w:cs="Arial"/>
          <w:sz w:val="22"/>
          <w:szCs w:val="22"/>
        </w:rPr>
        <w:t>Bigna</w:t>
      </w:r>
      <w:proofErr w:type="spellEnd"/>
      <w:r w:rsidRPr="00527FB3">
        <w:rPr>
          <w:rFonts w:ascii="Arial" w:hAnsi="Arial" w:cs="Arial"/>
          <w:sz w:val="22"/>
          <w:szCs w:val="22"/>
        </w:rPr>
        <w:t xml:space="preserve">, J. J. (2022). Geographic distribution of metabolic syndrome and its components in the general adult population: A meta-analysis of global data from 28 million individuals. Diabetes research and clinical practice, 188, 109924. </w:t>
      </w:r>
      <w:hyperlink r:id="rId6" w:history="1">
        <w:r w:rsidR="001B2B32" w:rsidRPr="00527FB3">
          <w:rPr>
            <w:rStyle w:val="Hyperlink"/>
            <w:rFonts w:ascii="Arial" w:hAnsi="Arial" w:cs="Arial"/>
            <w:sz w:val="22"/>
            <w:szCs w:val="22"/>
          </w:rPr>
          <w:t>https://doi.org/10.1016/j.diabres.2022.109924</w:t>
        </w:r>
      </w:hyperlink>
    </w:p>
    <w:p w14:paraId="3A107A39" w14:textId="41C824CC" w:rsidR="00407FDC" w:rsidRDefault="00407FDC" w:rsidP="00527FB3">
      <w:pPr>
        <w:spacing w:line="360" w:lineRule="auto"/>
        <w:rPr>
          <w:rFonts w:ascii="Arial" w:hAnsi="Arial" w:cs="Arial"/>
          <w:sz w:val="22"/>
          <w:szCs w:val="22"/>
        </w:rPr>
      </w:pPr>
      <w:proofErr w:type="spellStart"/>
      <w:r w:rsidRPr="00527FB3">
        <w:rPr>
          <w:rFonts w:ascii="Arial" w:hAnsi="Arial" w:cs="Arial"/>
          <w:sz w:val="22"/>
          <w:szCs w:val="22"/>
        </w:rPr>
        <w:t>Pigeot</w:t>
      </w:r>
      <w:proofErr w:type="spellEnd"/>
      <w:r w:rsidRPr="00527FB3">
        <w:rPr>
          <w:rFonts w:ascii="Arial" w:hAnsi="Arial" w:cs="Arial"/>
          <w:sz w:val="22"/>
          <w:szCs w:val="22"/>
        </w:rPr>
        <w:t xml:space="preserve">, I., &amp; Ahrens, W. (2025). Epidemiology of metabolic syndrome. </w:t>
      </w:r>
      <w:proofErr w:type="spellStart"/>
      <w:r w:rsidRPr="00527FB3">
        <w:rPr>
          <w:rFonts w:ascii="Arial" w:hAnsi="Arial" w:cs="Arial"/>
          <w:sz w:val="22"/>
          <w:szCs w:val="22"/>
        </w:rPr>
        <w:t>Pflugers</w:t>
      </w:r>
      <w:proofErr w:type="spellEnd"/>
      <w:r w:rsidRPr="00527FB3">
        <w:rPr>
          <w:rFonts w:ascii="Arial" w:hAnsi="Arial" w:cs="Arial"/>
          <w:sz w:val="22"/>
          <w:szCs w:val="22"/>
        </w:rPr>
        <w:t xml:space="preserve"> </w:t>
      </w:r>
      <w:proofErr w:type="spellStart"/>
      <w:proofErr w:type="gramStart"/>
      <w:r w:rsidRPr="00527FB3">
        <w:rPr>
          <w:rFonts w:ascii="Arial" w:hAnsi="Arial" w:cs="Arial"/>
          <w:sz w:val="22"/>
          <w:szCs w:val="22"/>
        </w:rPr>
        <w:t>Archiv</w:t>
      </w:r>
      <w:proofErr w:type="spellEnd"/>
      <w:r w:rsidRPr="00527FB3">
        <w:rPr>
          <w:rFonts w:ascii="Arial" w:hAnsi="Arial" w:cs="Arial"/>
          <w:sz w:val="22"/>
          <w:szCs w:val="22"/>
        </w:rPr>
        <w:t xml:space="preserve"> :</w:t>
      </w:r>
      <w:proofErr w:type="gramEnd"/>
      <w:r w:rsidRPr="00527FB3">
        <w:rPr>
          <w:rFonts w:ascii="Arial" w:hAnsi="Arial" w:cs="Arial"/>
          <w:sz w:val="22"/>
          <w:szCs w:val="22"/>
        </w:rPr>
        <w:t xml:space="preserve"> European journal of physiology, 477(5), 669–680. </w:t>
      </w:r>
      <w:hyperlink r:id="rId7" w:history="1">
        <w:r w:rsidR="00543D00" w:rsidRPr="00527FB3">
          <w:rPr>
            <w:rStyle w:val="Hyperlink"/>
            <w:rFonts w:ascii="Arial" w:hAnsi="Arial" w:cs="Arial"/>
            <w:sz w:val="22"/>
            <w:szCs w:val="22"/>
          </w:rPr>
          <w:t>https://doi.org/10.1007/s00424-024-03051-7</w:t>
        </w:r>
      </w:hyperlink>
    </w:p>
    <w:p w14:paraId="6829243D" w14:textId="47F20FB2" w:rsidR="00173F87" w:rsidRDefault="00173F87" w:rsidP="00527FB3">
      <w:pPr>
        <w:spacing w:line="360" w:lineRule="auto"/>
        <w:rPr>
          <w:rFonts w:ascii="Arial" w:hAnsi="Arial" w:cs="Arial"/>
          <w:sz w:val="22"/>
          <w:szCs w:val="22"/>
        </w:rPr>
      </w:pPr>
      <w:proofErr w:type="spellStart"/>
      <w:r w:rsidRPr="00173F87">
        <w:rPr>
          <w:rFonts w:ascii="Arial" w:hAnsi="Arial" w:cs="Arial"/>
          <w:sz w:val="22"/>
          <w:szCs w:val="22"/>
        </w:rPr>
        <w:t>Ramasubbu</w:t>
      </w:r>
      <w:proofErr w:type="spellEnd"/>
      <w:r w:rsidRPr="00173F87">
        <w:rPr>
          <w:rFonts w:ascii="Arial" w:hAnsi="Arial" w:cs="Arial"/>
          <w:sz w:val="22"/>
          <w:szCs w:val="22"/>
        </w:rPr>
        <w:t xml:space="preserve">, N., Ragunath, C., &amp; Mishra, P. J. (2003). Probing the role of a mobile loop in substrate binding and enzyme activity of human salivary amylase. Journal of molecular biology, 325(5), 1061–1076. </w:t>
      </w:r>
      <w:hyperlink r:id="rId8" w:history="1">
        <w:r w:rsidRPr="00CA342F">
          <w:rPr>
            <w:rStyle w:val="Hyperlink"/>
            <w:rFonts w:ascii="Arial" w:hAnsi="Arial" w:cs="Arial"/>
            <w:sz w:val="22"/>
            <w:szCs w:val="22"/>
          </w:rPr>
          <w:t>https://doi.org/10.1016/s0022-2836(02)01326-8</w:t>
        </w:r>
      </w:hyperlink>
    </w:p>
    <w:p w14:paraId="4AEB24BB" w14:textId="5A6D28EA" w:rsidR="00543D00" w:rsidRPr="00407FDC" w:rsidRDefault="00543D00" w:rsidP="00407FDC"/>
    <w:sectPr w:rsidR="00543D00" w:rsidRPr="00407FDC" w:rsidSect="00D01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D5"/>
    <w:rsid w:val="00082D73"/>
    <w:rsid w:val="00173F87"/>
    <w:rsid w:val="00186F6C"/>
    <w:rsid w:val="001B2B32"/>
    <w:rsid w:val="001E30ED"/>
    <w:rsid w:val="002F59F3"/>
    <w:rsid w:val="00407FDC"/>
    <w:rsid w:val="00527FB3"/>
    <w:rsid w:val="00543D00"/>
    <w:rsid w:val="00602B6A"/>
    <w:rsid w:val="006B0074"/>
    <w:rsid w:val="006F31E8"/>
    <w:rsid w:val="007211F7"/>
    <w:rsid w:val="0077333C"/>
    <w:rsid w:val="0079796E"/>
    <w:rsid w:val="007C0FC6"/>
    <w:rsid w:val="008B590E"/>
    <w:rsid w:val="008F3006"/>
    <w:rsid w:val="00A23437"/>
    <w:rsid w:val="00A5532C"/>
    <w:rsid w:val="00A80733"/>
    <w:rsid w:val="00A83F01"/>
    <w:rsid w:val="00AB39CD"/>
    <w:rsid w:val="00B1580F"/>
    <w:rsid w:val="00BA7346"/>
    <w:rsid w:val="00BF576F"/>
    <w:rsid w:val="00C376C7"/>
    <w:rsid w:val="00C52C26"/>
    <w:rsid w:val="00CC0DD5"/>
    <w:rsid w:val="00CD33E2"/>
    <w:rsid w:val="00D018F5"/>
    <w:rsid w:val="00D641E3"/>
    <w:rsid w:val="00D76782"/>
    <w:rsid w:val="00DC7114"/>
    <w:rsid w:val="00E97412"/>
    <w:rsid w:val="00E978B8"/>
    <w:rsid w:val="00F951C5"/>
    <w:rsid w:val="00FD7D3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7DD2"/>
  <w15:chartTrackingRefBased/>
  <w15:docId w15:val="{DC041C82-9BD0-46B6-9569-21803E5B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D5"/>
    <w:rPr>
      <w:rFonts w:eastAsiaTheme="majorEastAsia" w:cstheme="majorBidi"/>
      <w:color w:val="272727" w:themeColor="text1" w:themeTint="D8"/>
    </w:rPr>
  </w:style>
  <w:style w:type="paragraph" w:styleId="Title">
    <w:name w:val="Title"/>
    <w:basedOn w:val="Normal"/>
    <w:next w:val="Normal"/>
    <w:link w:val="TitleChar"/>
    <w:uiPriority w:val="10"/>
    <w:qFormat/>
    <w:rsid w:val="00CC0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D5"/>
    <w:pPr>
      <w:spacing w:before="160"/>
      <w:jc w:val="center"/>
    </w:pPr>
    <w:rPr>
      <w:i/>
      <w:iCs/>
      <w:color w:val="404040" w:themeColor="text1" w:themeTint="BF"/>
    </w:rPr>
  </w:style>
  <w:style w:type="character" w:customStyle="1" w:styleId="QuoteChar">
    <w:name w:val="Quote Char"/>
    <w:basedOn w:val="DefaultParagraphFont"/>
    <w:link w:val="Quote"/>
    <w:uiPriority w:val="29"/>
    <w:rsid w:val="00CC0DD5"/>
    <w:rPr>
      <w:i/>
      <w:iCs/>
      <w:color w:val="404040" w:themeColor="text1" w:themeTint="BF"/>
    </w:rPr>
  </w:style>
  <w:style w:type="paragraph" w:styleId="ListParagraph">
    <w:name w:val="List Paragraph"/>
    <w:basedOn w:val="Normal"/>
    <w:uiPriority w:val="34"/>
    <w:qFormat/>
    <w:rsid w:val="00CC0DD5"/>
    <w:pPr>
      <w:ind w:left="720"/>
      <w:contextualSpacing/>
    </w:pPr>
  </w:style>
  <w:style w:type="character" w:styleId="IntenseEmphasis">
    <w:name w:val="Intense Emphasis"/>
    <w:basedOn w:val="DefaultParagraphFont"/>
    <w:uiPriority w:val="21"/>
    <w:qFormat/>
    <w:rsid w:val="00CC0DD5"/>
    <w:rPr>
      <w:i/>
      <w:iCs/>
      <w:color w:val="0F4761" w:themeColor="accent1" w:themeShade="BF"/>
    </w:rPr>
  </w:style>
  <w:style w:type="paragraph" w:styleId="IntenseQuote">
    <w:name w:val="Intense Quote"/>
    <w:basedOn w:val="Normal"/>
    <w:next w:val="Normal"/>
    <w:link w:val="IntenseQuoteChar"/>
    <w:uiPriority w:val="30"/>
    <w:qFormat/>
    <w:rsid w:val="00CC0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D5"/>
    <w:rPr>
      <w:i/>
      <w:iCs/>
      <w:color w:val="0F4761" w:themeColor="accent1" w:themeShade="BF"/>
    </w:rPr>
  </w:style>
  <w:style w:type="character" w:styleId="IntenseReference">
    <w:name w:val="Intense Reference"/>
    <w:basedOn w:val="DefaultParagraphFont"/>
    <w:uiPriority w:val="32"/>
    <w:qFormat/>
    <w:rsid w:val="00CC0DD5"/>
    <w:rPr>
      <w:b/>
      <w:bCs/>
      <w:smallCaps/>
      <w:color w:val="0F4761" w:themeColor="accent1" w:themeShade="BF"/>
      <w:spacing w:val="5"/>
    </w:rPr>
  </w:style>
  <w:style w:type="character" w:styleId="Hyperlink">
    <w:name w:val="Hyperlink"/>
    <w:basedOn w:val="DefaultParagraphFont"/>
    <w:uiPriority w:val="99"/>
    <w:unhideWhenUsed/>
    <w:rsid w:val="00543D00"/>
    <w:rPr>
      <w:color w:val="467886" w:themeColor="hyperlink"/>
      <w:u w:val="single"/>
    </w:rPr>
  </w:style>
  <w:style w:type="character" w:styleId="UnresolvedMention">
    <w:name w:val="Unresolved Mention"/>
    <w:basedOn w:val="DefaultParagraphFont"/>
    <w:uiPriority w:val="99"/>
    <w:semiHidden/>
    <w:unhideWhenUsed/>
    <w:rsid w:val="00543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022-2836(02)01326-8" TargetMode="External"/><Relationship Id="rId3" Type="http://schemas.openxmlformats.org/officeDocument/2006/relationships/webSettings" Target="webSettings.xml"/><Relationship Id="rId7" Type="http://schemas.openxmlformats.org/officeDocument/2006/relationships/hyperlink" Target="https://doi.org/10.1007/s00424-024-0305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diabres.2022.109924" TargetMode="External"/><Relationship Id="rId5" Type="http://schemas.openxmlformats.org/officeDocument/2006/relationships/hyperlink" Target="https://doi.org/10.1007/s13679-025-00618-y" TargetMode="External"/><Relationship Id="rId10" Type="http://schemas.openxmlformats.org/officeDocument/2006/relationships/theme" Target="theme/theme1.xml"/><Relationship Id="rId4" Type="http://schemas.openxmlformats.org/officeDocument/2006/relationships/hyperlink" Target="https://doi.org/10.2174/187421060130701000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4</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Anbari</dc:creator>
  <cp:keywords/>
  <dc:description/>
  <cp:lastModifiedBy>Oumaima Anbari</cp:lastModifiedBy>
  <cp:revision>6</cp:revision>
  <dcterms:created xsi:type="dcterms:W3CDTF">2025-10-05T09:58:00Z</dcterms:created>
  <dcterms:modified xsi:type="dcterms:W3CDTF">2025-10-05T19:58:00Z</dcterms:modified>
</cp:coreProperties>
</file>