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033CE76" w14:textId="5E6BE052" w:rsidR="109E7504" w:rsidRDefault="0A8A2E98" w:rsidP="78773EE0">
      <w:pPr>
        <w:jc w:val="center"/>
      </w:pPr>
      <w:r>
        <w:rPr>
          <w:rFonts w:ascii="Times New Roman" w:eastAsia="Times New Roman" w:hAnsi="Times New Roman" w:cs="Times New Roman"/>
          <w:b/>
          <w:bCs/>
          <w:color w:val="000000" w:themeColor="text1"/>
          <w:sz w:val="28"/>
          <w:szCs w:val="28"/>
        </w:rPr>
        <w:t>AI for Good Sandbox Hackathon – [Nom de l'équipe] – MinorShield Policy Lab</w:t>
      </w:r>
    </w:p>
    <w:p w14:paraId="3CB4C377" w14:textId="5FC68465" w:rsidR="109E7504" w:rsidRDefault="109E7504" w:rsidP="3B355EBA">
      <w:pPr>
        <w:spacing w:after="0"/>
        <w:jc w:val="left"/>
        <w:rPr>
          <w:rFonts w:ascii="Times New Roman" w:eastAsia="Times New Roman" w:hAnsi="Times New Roman" w:cs="Times New Roman"/>
          <w:color w:val="000000" w:themeColor="text1"/>
        </w:rPr>
      </w:pPr>
      <w:r>
        <w:rPr>
          <w:rFonts w:ascii="Times New Roman" w:hAnsi="Times New Roman" w:eastAsia="Times New Roman"/>
          <w:color w:val="000000" w:themeColor="text1"/>
          <w:sz w:val="21"/>
        </w:rPr>
        <w:t>Chef d'équipe : Abdoul-Hamid Oumarou</w:t>
      </w:r>
    </w:p>
    <w:p w14:paraId="22D4FB2E" w14:textId="09E96DD5" w:rsidR="109E7504" w:rsidRDefault="0A8A2E98" w:rsidP="78773EE0">
      <w:pPr>
        <w:spacing w:after="0"/>
        <w:jc w:val="left"/>
        <w:rPr>
          <w:rFonts w:ascii="Times New Roman" w:eastAsia="Times New Roman" w:hAnsi="Times New Roman" w:cs="Times New Roman"/>
          <w:color w:val="000000" w:themeColor="text1"/>
        </w:rPr>
      </w:pPr>
      <w:r>
        <w:rPr>
          <w:rFonts w:ascii="Times New Roman" w:hAnsi="Times New Roman" w:eastAsia="Times New Roman"/>
          <w:sz w:val="21"/>
        </w:rPr>
        <w:t>Membres de l'équipe : [à compléter]</w:t>
        <w:br/>
      </w:r>
      <w:r>
        <w:rPr>
          <w:rFonts w:ascii="Times New Roman" w:hAnsi="Times New Roman" w:eastAsia="Times New Roman"/>
          <w:sz w:val="21"/>
        </w:rPr>
        <w:t>Contact : oumarouabdoulhamid26@gmail.com</w:t>
      </w:r>
    </w:p>
    <w:p w14:paraId="2CEE87C7" w14:textId="456B525D" w:rsidR="109E7504" w:rsidRDefault="0A8A2E98" w:rsidP="3B355EBA">
      <w:pPr>
        <w:spacing w:after="0"/>
        <w:jc w:val="left"/>
        <w:rPr>
          <w:rFonts w:ascii="Times New Roman" w:eastAsia="Times New Roman" w:hAnsi="Times New Roman" w:cs="Times New Roman"/>
          <w:color w:val="000000" w:themeColor="text1"/>
        </w:rPr>
      </w:pPr>
      <w:r>
        <w:rPr>
          <w:rFonts w:ascii="Times New Roman" w:hAnsi="Times New Roman" w:eastAsia="Times New Roman"/>
          <w:color w:val="000000" w:themeColor="text1"/>
          <w:sz w:val="21"/>
        </w:rPr>
        <w:t xml:space="preserve">Lien GitHub : </w:t>
      </w:r>
      <w:hyperlink r:id="rId8">
        <w:r>
          <w:rPr>
            <w:rFonts w:ascii="Times New Roman" w:hAnsi="Times New Roman" w:eastAsia="Times New Roman"/>
            <w:color w:val="000000" w:themeColor="text1"/>
            <w:sz w:val="21"/>
            <w:color w:val="0563C1"/>
            <w:u w:val="single"/>
          </w:rPr>
          <w:t xml:space="preserve">https://github.com/oumarouabdoulhamid26-svg/MinorShield-Hackathon</w:t>
        </w:r>
      </w:hyperlink>
    </w:p>
    <w:p w14:paraId="670EBFDA" w14:textId="1ACCF6D8" w:rsidR="109E7504" w:rsidRDefault="109E7504" w:rsidP="3B355EBA">
      <w:pPr>
        <w:pStyle w:val="ListParagraph"/>
        <w:keepNext/>
        <w:numPr>
          <w:ilvl w:val="0"/>
          <w:numId w:val="4"/>
        </w:numPr>
        <w:spacing w:before="160" w:after="60"/>
        <w:jc w:val="both"/>
        <w:rPr>
          <w:rFonts w:ascii="Times New Roman" w:eastAsia="Times New Roman" w:hAnsi="Times New Roman" w:cs="Times New Roman"/>
          <w:color w:val="000000" w:themeColor="text1"/>
        </w:rPr>
      </w:pPr>
      <w:r>
        <w:rPr>
          <w:rFonts w:ascii="Times New Roman" w:eastAsia="Times New Roman" w:hAnsi="Times New Roman" w:cs="Times New Roman"/>
          <w:b/>
          <w:color w:val="000000" w:themeColor="text1"/>
          <w:sz w:val="24"/>
        </w:rPr>
        <w:t>Introduction</w:t>
      </w:r>
    </w:p>
    <w:p>
      <w:pPr>
        <w:spacing w:after="60" w:before="0" w:line="240" w:lineRule="auto"/>
        <w:jc w:val="both"/>
      </w:pPr>
      <w:r>
        <w:rPr>
          <w:rFonts w:ascii="Times New Roman" w:hAnsi="Times New Roman" w:eastAsia="Times New Roman"/>
          <w:sz w:val="21"/>
        </w:rPr>
        <w:t>MinorShield est une application mobile de contrôle parental qui utilise l’intelligence artificielle, directement sur le téléphone de l’enfant, pour détecter les contenus dangereux — nudité, violence, texte toxique — et alerter aussitôt les parents, sans jamais transmettre l’image ni l’identité de l’enfant. C’est une solution d’IA au service d’un bien social — la protection des mineurs en ligne — et c’est le cas d’usage de ce projet. Mais déployer un tel outil au Cameroun soulève une question jamais testée : lorsqu’il détecte une vraie crise, comme un réseau de chantage sexuel (« sextorsion ») visant des élèves, les institutions du pays peuvent-elles légalement recevoir son alerte, se coordonner et agir ?</w:t>
      </w:r>
    </w:p>
    <w:p>
      <w:pPr>
        <w:spacing w:after="60" w:before="0" w:line="240" w:lineRule="auto"/>
        <w:jc w:val="both"/>
      </w:pPr>
      <w:r>
        <w:rPr>
          <w:rFonts w:ascii="Times New Roman" w:hAnsi="Times New Roman" w:eastAsia="Times New Roman"/>
          <w:b/>
          <w:sz w:val="21"/>
        </w:rPr>
        <w:t>Une telle crise ne relève d’aucune institution seule : elle mobilise un régulateur, les opérateurs télécoms, une plateforme étrangère, la police, le parquet, les services sociaux, les écoles et les entreprises qui détiennent des données d’enfants. Le Cameroun a adopté une Charte de protection des enfants en ligne (loi n° 2023/009 du 25 juillet 2023), mais la manière dont ses institutions se coordonneraient en l’appliquant lors d’une vraie crise — déclenchée par un outil comme MinorShield — n’a jamais été éprouvée. Les exercices de simulation sont rares, coûteux, et reposent sur la mémoire que les participants ont de la loi.</w:t>
      </w:r>
      <w:r>
        <w:rPr>
          <w:rFonts w:ascii="Times New Roman" w:hAnsi="Times New Roman" w:eastAsia="Times New Roman"/>
          <w:sz w:val="21"/>
        </w:rPr>
      </w:r>
    </w:p>
    <w:p>
      <w:pPr>
        <w:spacing w:after="60" w:before="0" w:line="240" w:lineRule="auto"/>
        <w:jc w:val="both"/>
      </w:pPr>
      <w:r>
        <w:rPr>
          <w:rFonts w:ascii="Times New Roman" w:hAnsi="Times New Roman" w:eastAsia="Times New Roman"/>
          <w:sz w:val="21"/>
        </w:rPr>
        <w:t>Pour éprouver cet environnement juridique autour de notre cas d’usage, nous avons construit MinorShield Policy Lab, un bac à sable de politiques publiques multi-agents. Treize agents IA, jouant chacun une institution ou un acteur privé camerounais réel, gèrent une crise de sextorsion déclenchée par une alerte de MinorShield et révélée par étapes. Chaque agent ne connaît que ce qui lui a été révélé, agit dans le mandat que la loi lui donne, et doit justifier chaque action par un article qu’il a réellement retrouvé dans une base de connaissances nationale. Un agent conseiller juridique juge la base légale de chaque action, relève les lacunes du droit camerounais et les compare à l’Union européenne, au Royaume-Uni, aux États-Unis et à l’Australie. Chaque citation est vérifiée automatiquement et chaque étape est inscrite dans un journal d’audit. Le projet répond ainsi directement à la dimension D10 (IA et politiques) du cadre de préparation à l’IA — utiliser l’IA pour expérimenter des politiques avant la crise — et touche aussi D7 (alignement stratégique), D4 (contextualisation et impact régional) et D8 (collaboration avec l’IA).</w:t>
      </w:r>
      <w:r>
        <w:rPr>
          <w:rFonts w:ascii="Times New Roman" w:hAnsi="Times New Roman" w:eastAsia="Times New Roman"/>
          <w:b/>
          <w:sz w:val="21"/>
        </w:rPr>
      </w:r>
      <w:r>
        <w:rPr>
          <w:rFonts w:ascii="Times New Roman" w:hAnsi="Times New Roman" w:eastAsia="Times New Roman"/>
          <w:sz w:val="21"/>
        </w:rPr>
      </w:r>
      <w:r>
        <w:rPr>
          <w:rFonts w:ascii="Times New Roman" w:hAnsi="Times New Roman" w:eastAsia="Times New Roman"/>
          <w:b/>
          <w:sz w:val="21"/>
        </w:rPr>
      </w:r>
      <w:r>
        <w:rPr>
          <w:rFonts w:ascii="Times New Roman" w:hAnsi="Times New Roman" w:eastAsia="Times New Roman"/>
          <w:sz w:val="21"/>
        </w:rPr>
      </w:r>
    </w:p>
    <w:p w14:paraId="5C97044B" w14:textId="651C385A" w:rsidR="109E7504" w:rsidRDefault="0A8A2E98" w:rsidP="78773EE0">
      <w:pPr>
        <w:pStyle w:val="ListParagraph"/>
        <w:keepNext/>
        <w:numPr>
          <w:ilvl w:val="0"/>
          <w:numId w:val="4"/>
        </w:numPr>
        <w:spacing w:before="160" w:after="60"/>
        <w:jc w:val="both"/>
        <w:rPr>
          <w:rFonts w:ascii="Times New Roman" w:eastAsia="Times New Roman" w:hAnsi="Times New Roman" w:cs="Times New Roman"/>
          <w:color w:val="000000" w:themeColor="text1"/>
        </w:rPr>
      </w:pPr>
      <w:r>
        <w:rPr>
          <w:rFonts w:ascii="Times New Roman" w:eastAsia="Times New Roman" w:hAnsi="Times New Roman" w:cs="Times New Roman"/>
          <w:b/>
          <w:color w:val="000000" w:themeColor="text1"/>
          <w:sz w:val="24"/>
        </w:rPr>
        <w:t>Description du cas d'usage</w:t>
      </w:r>
    </w:p>
    <w:p>
      <w:pPr>
        <w:spacing w:after="60" w:before="0" w:line="240" w:lineRule="auto"/>
        <w:jc w:val="both"/>
      </w:pPr>
      <w:r>
        <w:rPr>
          <w:rFonts w:ascii="Times New Roman" w:hAnsi="Times New Roman" w:eastAsia="Times New Roman"/>
          <w:b/>
          <w:sz w:val="21"/>
        </w:rPr>
        <w:t>Le cas d’usage. MinorShield analyse en continu, sur l’appareil de l’enfant, les captures d’écran et le texte affiché : un modèle de vision détecte la nudité et la violence, un modèle de langage repère les propos toxiques, et le parent reçoit une alerte avec un score, sans que l’image quitte le téléphone. L’outil ne partage avec l’extérieur que des tendances agrégées et anonymisées. Un tel système ne protège vraiment les enfants que si, lorsqu’il révèle une crise réelle, le cadre juridique permet aux institutions de recevoir l’alerte et d’agir. C’est cet environnement de politiques publiques — et non le code de l’application — que notre bac à sable met à l’épreuve.</w:t>
      </w:r>
      <w:r>
        <w:rPr>
          <w:rFonts w:ascii="Times New Roman" w:hAnsi="Times New Roman" w:eastAsia="Times New Roman"/>
          <w:sz w:val="21"/>
        </w:rPr>
      </w:r>
    </w:p>
    <w:p>
      <w:pPr>
        <w:spacing w:after="60" w:before="0" w:line="240" w:lineRule="auto"/>
        <w:jc w:val="both"/>
      </w:pPr>
      <w:r>
        <w:rPr>
          <w:rFonts w:ascii="Times New Roman" w:hAnsi="Times New Roman" w:eastAsia="Times New Roman"/>
          <w:b/>
          <w:sz w:val="21"/>
        </w:rPr>
        <w:t>Faiblesses des approches existantes pour éprouver cet environnement. (1) Les exercices de crise sont rares, coûteux, et ne gardent aucune trace des raisons d’une décision. (2) Les assistants conversationnels généralistes répondent de mémoire et inventent des articles plausibles. (3) Les comparaisons avec le droit étranger se font à la main, un pays à la fois. (4) Personne ne voit à l’avance où les mandats se chevauchent ni où aucune institution n’est compétente.</w:t>
      </w:r>
      <w:r>
        <w:rPr>
          <w:rFonts w:ascii="Times New Roman" w:hAnsi="Times New Roman" w:eastAsia="Times New Roman"/>
          <w:sz w:val="21"/>
        </w:rPr>
      </w:r>
    </w:p>
    <w:p>
      <w:pPr>
        <w:spacing w:after="60" w:before="0" w:line="240" w:lineRule="auto"/>
        <w:jc w:val="both"/>
      </w:pPr>
      <w:r>
        <w:rPr>
          <w:rFonts w:ascii="Times New Roman" w:hAnsi="Times New Roman" w:eastAsia="Times New Roman"/>
          <w:b/>
          <w:sz w:val="21"/>
        </w:rPr>
        <w:t>Notre solution</w:t>
      </w:r>
      <w:r>
        <w:rPr>
          <w:rFonts w:ascii="Times New Roman" w:hAnsi="Times New Roman" w:eastAsia="Times New Roman"/>
          <w:sz w:val="21"/>
        </w:rPr>
        <w:t xml:space="preserve"> répond à chacune :</w:t>
      </w:r>
    </w:p>
    <w:p>
      <w:pPr>
        <w:spacing w:after="30" w:before="0" w:line="240" w:lineRule="auto"/>
        <w:ind w:left="283" w:hanging="198"/>
        <w:jc w:val="both"/>
      </w:pPr>
      <w:r>
        <w:rPr>
          <w:rFonts w:ascii="Times New Roman" w:hAnsi="Times New Roman" w:eastAsia="Times New Roman"/>
          <w:sz w:val="21"/>
        </w:rPr>
        <w:t xml:space="preserve">• </w:t>
      </w:r>
      <w:r>
        <w:rPr>
          <w:rFonts w:ascii="Times New Roman" w:hAnsi="Times New Roman" w:eastAsia="Times New Roman"/>
          <w:b/>
          <w:sz w:val="21"/>
        </w:rPr>
        <w:t>Une base de connaissances citable.</w:t>
      </w:r>
      <w:r>
        <w:rPr>
          <w:rFonts w:ascii="Times New Roman" w:hAnsi="Times New Roman" w:eastAsia="Times New Roman"/>
          <w:sz w:val="21"/>
        </w:rPr>
        <w:t xml:space="preserve"> 11 textes camerounais officiels (lois 2023/009, 2010/012 sur la cybersécurité, 2010/013 et 2015/006 sur les communications électroniques, 2010/021 sur le commerce électronique, et six décrets dont ceux qui organisent l'ANTIC, l'ART et le MINPOSTEL), tirés du recueil officiel 2023 publié par le régulateur des télécoms ; 5 références étrangères (Digital Services Act et RGPD de l'UE, Online Safety Act 2023 britannique, règle COPPA américaine 16 CFR 312, Online Safety Act 2021 australien) ; et les 64 documents de stratégie et de cas d'usage fournis par l'UIT. Les textes de loi sont découpés </w:t>
      </w:r>
      <w:r>
        <w:rPr>
          <w:rFonts w:ascii="Times New Roman" w:hAnsi="Times New Roman" w:eastAsia="Times New Roman"/>
          <w:b/>
          <w:sz w:val="21"/>
        </w:rPr>
        <w:t>article par article</w:t>
      </w:r>
      <w:r>
        <w:rPr>
          <w:rFonts w:ascii="Times New Roman" w:hAnsi="Times New Roman" w:eastAsia="Times New Roman"/>
          <w:sz w:val="21"/>
        </w:rPr>
        <w:t xml:space="preserve"> avec leur numéro de page : chaque extrait est une unité citable (7 740 morceaux indexés au total). La provenance de chaque fichier est documentée.</w:t>
      </w:r>
    </w:p>
    <w:p>
      <w:pPr>
        <w:spacing w:after="30" w:before="0" w:line="240" w:lineRule="auto"/>
        <w:ind w:left="283" w:hanging="198"/>
        <w:jc w:val="both"/>
      </w:pPr>
      <w:r>
        <w:rPr>
          <w:rFonts w:ascii="Times New Roman" w:hAnsi="Times New Roman" w:eastAsia="Times New Roman"/>
          <w:sz w:val="21"/>
        </w:rPr>
        <w:t xml:space="preserve">• </w:t>
      </w:r>
      <w:r>
        <w:rPr>
          <w:rFonts w:ascii="Times New Roman" w:hAnsi="Times New Roman" w:eastAsia="Times New Roman"/>
          <w:b/>
          <w:sz w:val="21"/>
        </w:rPr>
        <w:t>Des agents aux mandats réels.</w:t>
      </w:r>
      <w:r>
        <w:rPr>
          <w:rFonts w:ascii="Times New Roman" w:hAnsi="Times New Roman" w:eastAsia="Times New Roman"/>
          <w:sz w:val="21"/>
        </w:rPr>
        <w:t xml:space="preserve"> Chacun des 15 agents (13 acteurs, 1 conseiller juridique, 1 animateur neutre) a une fiche : mission, fondement légal, limites, sources prioritaires. Les mandats ont été rédigés à partir des articles de la loi 2023/009 (par ex. art. 27 à 29 pour le régulateur des TIC, l'ANTIC ; art. 32 pour la police et le procureur ; art. 33 pour les fournisseurs d'accès à Internet).</w:t>
      </w:r>
    </w:p>
    <w:p>
      <w:pPr>
        <w:spacing w:after="30" w:before="0" w:line="240" w:lineRule="auto"/>
        <w:ind w:left="283" w:hanging="198"/>
        <w:jc w:val="both"/>
      </w:pPr>
      <w:r>
        <w:rPr>
          <w:rFonts w:ascii="Times New Roman" w:hAnsi="Times New Roman" w:eastAsia="Times New Roman"/>
          <w:sz w:val="21"/>
        </w:rPr>
        <w:t xml:space="preserve">• </w:t>
      </w:r>
      <w:r>
        <w:rPr>
          <w:rFonts w:ascii="Times New Roman" w:hAnsi="Times New Roman" w:eastAsia="Times New Roman"/>
          <w:b/>
          <w:sz w:val="21"/>
        </w:rPr>
        <w:t>Une information inégale et séquencée.</w:t>
      </w:r>
      <w:r>
        <w:rPr>
          <w:rFonts w:ascii="Times New Roman" w:hAnsi="Times New Roman" w:eastAsia="Times New Roman"/>
          <w:sz w:val="21"/>
        </w:rPr>
        <w:t xml:space="preserve"> Le scénario « Opération Miroir » compte 5 étapes sur 3 jours, chacune révélée aux seules institutions concernées : hausse de 400 % des contenus bloqués détectée par MinorShield ; deux victimes (15 et 19 ans), dont l'une menacée d'exclusion scolaire ; images diffusées sur une plateforme étrangère (« Tchatlink », fictive) ; fuite de données d'une application de gestion scolaire (« ScolaPlus », fictive) utilisée par 300 établissements ; proposition de bloquer la plateforme dans tout le pays.</w:t>
      </w:r>
    </w:p>
    <w:p>
      <w:pPr>
        <w:spacing w:after="30" w:before="0" w:line="240" w:lineRule="auto"/>
        <w:ind w:left="283" w:hanging="198"/>
        <w:jc w:val="both"/>
      </w:pPr>
      <w:r>
        <w:rPr>
          <w:rFonts w:ascii="Times New Roman" w:hAnsi="Times New Roman" w:eastAsia="Times New Roman"/>
          <w:sz w:val="21"/>
        </w:rPr>
        <w:t xml:space="preserve">• </w:t>
      </w:r>
      <w:r>
        <w:rPr>
          <w:rFonts w:ascii="Times New Roman" w:hAnsi="Times New Roman" w:eastAsia="Times New Roman"/>
          <w:b/>
          <w:sz w:val="21"/>
        </w:rPr>
        <w:t>Une coordination par demandes.</w:t>
      </w:r>
      <w:r>
        <w:rPr>
          <w:rFonts w:ascii="Times New Roman" w:hAnsi="Times New Roman" w:eastAsia="Times New Roman"/>
          <w:sz w:val="21"/>
        </w:rPr>
        <w:t xml:space="preserve"> Les agents s'adressent des demandes ; l'animateur les transmet et renvoie les réponses à l'expéditeur : l'information ne circule que par ces échanges.</w:t>
      </w:r>
    </w:p>
    <w:p>
      <w:pPr>
        <w:spacing w:after="30" w:before="0" w:line="240" w:lineRule="auto"/>
        <w:ind w:left="283" w:hanging="198"/>
        <w:jc w:val="both"/>
      </w:pPr>
      <w:r>
        <w:rPr>
          <w:rFonts w:ascii="Times New Roman" w:hAnsi="Times New Roman" w:eastAsia="Times New Roman"/>
          <w:sz w:val="21"/>
        </w:rPr>
        <w:t xml:space="preserve">• </w:t>
      </w:r>
      <w:r>
        <w:rPr>
          <w:rFonts w:ascii="Times New Roman" w:hAnsi="Times New Roman" w:eastAsia="Times New Roman"/>
          <w:b/>
          <w:sz w:val="21"/>
        </w:rPr>
        <w:t>Des citations vérifiées.</w:t>
      </w:r>
      <w:r>
        <w:rPr>
          <w:rFonts w:ascii="Times New Roman" w:hAnsi="Times New Roman" w:eastAsia="Times New Roman"/>
          <w:sz w:val="21"/>
        </w:rPr>
        <w:t xml:space="preserve"> Chaque affirmation juridique reçoit un statut : étayée (cite un extrait réellement fourni), douteuse (mentionne un article, une loi nommée ou une juridiction absents de l'extrait cité), non étayée (aucune citation) ou invalide (cite un extrait jamais fourni, donc inventé).</w:t>
      </w:r>
    </w:p>
    <w:p>
      <w:pPr>
        <w:keepNext/>
        <w:spacing w:before="80" w:after="0"/>
        <w:jc w:val="center"/>
      </w:pPr>
      <w:r>
        <w:drawing>
          <wp:inline xmlns:a="http://schemas.openxmlformats.org/drawingml/2006/main" xmlns:pic="http://schemas.openxmlformats.org/drawingml/2006/picture">
            <wp:extent cx="5868000" cy="1944694"/>
            <wp:docPr id="1" name="Picture 1"/>
            <wp:cNvGraphicFramePr>
              <a:graphicFrameLocks noChangeAspect="1"/>
            </wp:cNvGraphicFramePr>
            <a:graphic>
              <a:graphicData uri="http://schemas.openxmlformats.org/drawingml/2006/picture">
                <pic:pic>
                  <pic:nvPicPr>
                    <pic:cNvPr id="0" name="fig_fr.png"/>
                    <pic:cNvPicPr/>
                  </pic:nvPicPr>
                  <pic:blipFill>
                    <a:blip r:embed="rId7"/>
                    <a:stretch>
                      <a:fillRect/>
                    </a:stretch>
                  </pic:blipFill>
                  <pic:spPr>
                    <a:xfrm>
                      <a:off x="0" y="0"/>
                      <a:ext cx="5868000" cy="1944694"/>
                    </a:xfrm>
                    <a:prstGeom prst="rect"/>
                  </pic:spPr>
                </pic:pic>
              </a:graphicData>
            </a:graphic>
          </wp:inline>
        </w:drawing>
      </w:r>
    </w:p>
    <w:p>
      <w:pPr>
        <w:spacing w:after="80"/>
        <w:jc w:val="center"/>
      </w:pPr>
      <w:r>
        <w:rPr>
          <w:rFonts w:ascii="Times New Roman" w:hAnsi="Times New Roman" w:eastAsia="Times New Roman"/>
          <w:i/>
          <w:sz w:val="18"/>
        </w:rPr>
        <w:t>Figure 1 – Architecture de MinorShield Policy Lab rapportée au pipeline UIT-T Y.3172</w:t>
      </w:r>
    </w:p>
    <w:p w14:paraId="15342D17" w14:textId="3BD60088" w:rsidR="64A7F3EB" w:rsidRDefault="64A7F3EB" w:rsidP="78773EE0">
      <w:pPr>
        <w:pStyle w:val="ListParagraph"/>
        <w:keepNext/>
        <w:numPr>
          <w:ilvl w:val="0"/>
          <w:numId w:val="4"/>
        </w:numPr>
        <w:spacing w:before="160" w:after="60"/>
        <w:jc w:val="both"/>
        <w:rPr>
          <w:rFonts w:ascii="Times New Roman" w:eastAsia="Times New Roman" w:hAnsi="Times New Roman" w:cs="Times New Roman"/>
          <w:color w:val="000000" w:themeColor="text1"/>
        </w:rPr>
      </w:pPr>
      <w:r>
        <w:rPr>
          <w:rFonts w:ascii="Times New Roman" w:eastAsia="Times New Roman" w:hAnsi="Times New Roman" w:cs="Times New Roman"/>
          <w:b/>
          <w:color w:val="000000" w:themeColor="text1"/>
          <w:sz w:val="24"/>
        </w:rPr>
        <w:t>Exigences du cas d'usage</w:t>
      </w:r>
    </w:p>
    <w:p>
      <w:pPr>
        <w:spacing w:after="30" w:before="0" w:line="240" w:lineRule="auto"/>
        <w:ind w:left="283" w:hanging="198"/>
        <w:jc w:val="both"/>
      </w:pPr>
      <w:r>
        <w:rPr>
          <w:rFonts w:ascii="Times New Roman" w:hAnsi="Times New Roman" w:eastAsia="Times New Roman"/>
          <w:sz w:val="21"/>
        </w:rPr>
        <w:t xml:space="preserve">• </w:t>
      </w:r>
      <w:r>
        <w:rPr>
          <w:rFonts w:ascii="Times New Roman" w:hAnsi="Times New Roman" w:eastAsia="Times New Roman"/>
          <w:b/>
          <w:sz w:val="21"/>
        </w:rPr>
        <w:t>Données sources (SRC) :</w:t>
      </w:r>
      <w:r>
        <w:rPr>
          <w:rFonts w:ascii="Times New Roman" w:hAnsi="Times New Roman" w:eastAsia="Times New Roman"/>
          <w:sz w:val="21"/>
        </w:rPr>
        <w:t xml:space="preserve"> les textes de loi doivent provenir de publications officielles, avec source, date et page exactes ; MinorShield ne peut partager que des tendances </w:t>
      </w:r>
      <w:r>
        <w:rPr>
          <w:rFonts w:ascii="Times New Roman" w:hAnsi="Times New Roman" w:eastAsia="Times New Roman"/>
          <w:b/>
          <w:sz w:val="21"/>
        </w:rPr>
        <w:t>agrégées et anonymisées</w:t>
      </w:r>
      <w:r>
        <w:rPr>
          <w:rFonts w:ascii="Times New Roman" w:hAnsi="Times New Roman" w:eastAsia="Times New Roman"/>
          <w:sz w:val="21"/>
        </w:rPr>
        <w:t>, jamais le contenu ou l'identité d'un enfant.</w:t>
      </w:r>
    </w:p>
    <w:p>
      <w:pPr>
        <w:spacing w:after="30" w:before="0" w:line="240" w:lineRule="auto"/>
        <w:ind w:left="283" w:hanging="198"/>
        <w:jc w:val="both"/>
      </w:pPr>
      <w:r>
        <w:rPr>
          <w:rFonts w:ascii="Times New Roman" w:hAnsi="Times New Roman" w:eastAsia="Times New Roman"/>
          <w:sz w:val="21"/>
        </w:rPr>
        <w:t xml:space="preserve">• </w:t>
      </w:r>
      <w:r>
        <w:rPr>
          <w:rFonts w:ascii="Times New Roman" w:hAnsi="Times New Roman" w:eastAsia="Times New Roman"/>
          <w:b/>
          <w:sz w:val="21"/>
        </w:rPr>
        <w:t>Collecte et prétraitement :</w:t>
      </w:r>
      <w:r>
        <w:rPr>
          <w:rFonts w:ascii="Times New Roman" w:hAnsi="Times New Roman" w:eastAsia="Times New Roman"/>
          <w:sz w:val="21"/>
        </w:rPr>
        <w:t xml:space="preserve"> extraction du texte natif (OCR seulement pour contre-vérifier une copie scannée) ; retrait des en-têtes et pieds de page ; découpage par article qui rejette les faux renvois ; étiquetage du pays et du type de document ; embeddings multilingues calculés </w:t>
      </w:r>
      <w:r>
        <w:rPr>
          <w:rFonts w:ascii="Times New Roman" w:hAnsi="Times New Roman" w:eastAsia="Times New Roman"/>
          <w:b/>
          <w:sz w:val="21"/>
        </w:rPr>
        <w:t>en local</w:t>
      </w:r>
      <w:r>
        <w:rPr>
          <w:rFonts w:ascii="Times New Roman" w:hAnsi="Times New Roman" w:eastAsia="Times New Roman"/>
          <w:sz w:val="21"/>
        </w:rPr>
        <w:t xml:space="preserve"> (bge-m3 via Ollama) : aucun texte ne quitte la machine.</w:t>
      </w:r>
    </w:p>
    <w:p>
      <w:pPr>
        <w:spacing w:after="30" w:before="0" w:line="240" w:lineRule="auto"/>
        <w:ind w:left="283" w:hanging="198"/>
        <w:jc w:val="both"/>
      </w:pPr>
      <w:r>
        <w:rPr>
          <w:rFonts w:ascii="Times New Roman" w:hAnsi="Times New Roman" w:eastAsia="Times New Roman"/>
          <w:sz w:val="21"/>
        </w:rPr>
        <w:t xml:space="preserve">• </w:t>
      </w:r>
      <w:r>
        <w:rPr>
          <w:rFonts w:ascii="Times New Roman" w:hAnsi="Times New Roman" w:eastAsia="Times New Roman"/>
          <w:b/>
          <w:sz w:val="21"/>
        </w:rPr>
        <w:t>Modèle :</w:t>
      </w:r>
      <w:r>
        <w:rPr>
          <w:rFonts w:ascii="Times New Roman" w:hAnsi="Times New Roman" w:eastAsia="Times New Roman"/>
          <w:sz w:val="21"/>
        </w:rPr>
        <w:t xml:space="preserve"> modèle de raisonnement à poids ouverts (gpt-oss-120b, servi par Groq), sortie JSON structurée (évaluation, actions, base légale, demandes, lacunes, confiance, raisonnement explicite). Chaque requête doit tenir dans la limite gratuite de 8 000 jetons par minute : le contexte est ajusté automatiquement (4 extraits de 600 caractères au plus par agent ; le conseiller garde un extrait par juridiction étrangère).</w:t>
      </w:r>
    </w:p>
    <w:p>
      <w:pPr>
        <w:spacing w:after="30" w:before="0" w:line="240" w:lineRule="auto"/>
        <w:ind w:left="283" w:hanging="198"/>
        <w:jc w:val="both"/>
      </w:pPr>
      <w:r>
        <w:rPr>
          <w:rFonts w:ascii="Times New Roman" w:hAnsi="Times New Roman" w:eastAsia="Times New Roman"/>
          <w:sz w:val="21"/>
        </w:rPr>
        <w:t xml:space="preserve">• </w:t>
      </w:r>
      <w:r>
        <w:rPr>
          <w:rFonts w:ascii="Times New Roman" w:hAnsi="Times New Roman" w:eastAsia="Times New Roman"/>
          <w:b/>
          <w:sz w:val="21"/>
        </w:rPr>
        <w:t>Règles de politique :</w:t>
      </w:r>
      <w:r>
        <w:rPr>
          <w:rFonts w:ascii="Times New Roman" w:hAnsi="Times New Roman" w:eastAsia="Times New Roman"/>
          <w:sz w:val="21"/>
        </w:rPr>
        <w:t xml:space="preserve"> un agent n'agit que sur l'information qui lui a été révélée ; il ne peut citer que les identifiants d'extraits reçus, jamais un article de mémoire ; il doit dire ce que la loi ne lui permet pas de faire.</w:t>
      </w:r>
    </w:p>
    <w:p>
      <w:pPr>
        <w:spacing w:after="30" w:before="0" w:line="240" w:lineRule="auto"/>
        <w:ind w:left="283" w:hanging="198"/>
        <w:jc w:val="both"/>
      </w:pPr>
      <w:r>
        <w:rPr>
          <w:rFonts w:ascii="Times New Roman" w:hAnsi="Times New Roman" w:eastAsia="Times New Roman"/>
          <w:sz w:val="21"/>
        </w:rPr>
        <w:t xml:space="preserve">• </w:t>
      </w:r>
      <w:r>
        <w:rPr>
          <w:rFonts w:ascii="Times New Roman" w:hAnsi="Times New Roman" w:eastAsia="Times New Roman"/>
          <w:b/>
          <w:sz w:val="21"/>
        </w:rPr>
        <w:t>Sortie et contrôle humain :</w:t>
      </w:r>
      <w:r>
        <w:rPr>
          <w:rFonts w:ascii="Times New Roman" w:hAnsi="Times New Roman" w:eastAsia="Times New Roman"/>
          <w:sz w:val="21"/>
        </w:rPr>
        <w:t xml:space="preserve"> les résultats (journal d'audit, rapport, page de démonstration) servent à la délibération de décideurs humains ; ce ne sont pas des avis juridiques. Chaque simulation enregistre le modèle, les jetons et la durée, pour être reproductible ; la simulation de référence a utilisé 159 930 jetons en 19 minutes sur un ordinateur portable sans carte graphique.</w:t>
      </w:r>
    </w:p>
    <w:p w14:paraId="7C572FF3" w14:textId="10C293CF" w:rsidR="109E7504" w:rsidRDefault="0A8A2E98" w:rsidP="78773EE0">
      <w:pPr>
        <w:pStyle w:val="ListParagraph"/>
        <w:keepNext/>
        <w:numPr>
          <w:ilvl w:val="0"/>
          <w:numId w:val="4"/>
        </w:numPr>
        <w:spacing w:before="160" w:after="60"/>
        <w:jc w:val="both"/>
        <w:rPr>
          <w:rFonts w:ascii="Times New Roman" w:eastAsia="Times New Roman" w:hAnsi="Times New Roman" w:cs="Times New Roman"/>
          <w:color w:val="000000" w:themeColor="text1"/>
        </w:rPr>
      </w:pPr>
      <w:r>
        <w:rPr>
          <w:rFonts w:ascii="Times New Roman" w:eastAsia="Times New Roman" w:hAnsi="Times New Roman" w:cs="Times New Roman"/>
          <w:b/>
          <w:color w:val="000000" w:themeColor="text1"/>
          <w:sz w:val="24"/>
        </w:rPr>
        <w:t>Correspondance avec la norme UIT-T Y.3172, le cadre de préparation à l'IA et les politiques du domaine</w:t>
      </w:r>
    </w:p>
    <w:p>
      <w:pPr>
        <w:spacing w:after="60" w:before="0" w:line="240" w:lineRule="auto"/>
        <w:jc w:val="both"/>
      </w:pPr>
      <w:r>
        <w:rPr>
          <w:rFonts w:ascii="Times New Roman" w:hAnsi="Times New Roman" w:eastAsia="Times New Roman"/>
          <w:sz w:val="21"/>
        </w:rPr>
        <w:t>Le tableau rapporte chaque nœud du pipeline d'apprentissage automatique UIT-T Y.3172 à notre réalisation, aux dimensions du cadre de préparation à l'IA de l'UIT, et aux documents de notre base qui fixent les exigences correspondantes.</w:t>
      </w:r>
    </w:p>
    <w:tbl>
      <w:tblPr>
        <w:tblStyle w:val="TableGridLight"/>
        <w:tblW w:w="9359" w:type="dxa"/>
        <w:tblBorders>
          <w:top w:val="single" w:sz="6" w:space="0" w:color="auto"/>
          <w:left w:val="single" w:sz="6" w:space="0" w:color="auto"/>
          <w:bottom w:val="single" w:sz="6" w:space="0" w:color="auto"/>
          <w:right w:val="single" w:sz="6" w:space="0" w:color="auto"/>
        </w:tblBorders>
        <w:tblLook w:val="0420" w:firstRow="1" w:lastRow="0" w:firstColumn="0" w:lastColumn="0" w:noHBand="0" w:noVBand="1"/>
      </w:tblPr>
      <w:tblGrid>
        <w:gridCol w:w="1541"/>
        <w:gridCol w:w="2300"/>
        <w:gridCol w:w="2300"/>
        <w:gridCol w:w="3218"/>
      </w:tblGrid>
      <w:tr w:rsidR="3B355EBA" w14:paraId="6E70CE7A" w14:textId="77777777" w:rsidTr="78773EE0">
        <w:trPr>
          <w:tblHeader w:val="true"/>
        </w:trPr>
        <w:tc>
          <w:tcPr>
            <w:tcW w:w="1541" w:type="dxa"/>
            <w:tcMar>
              <w:left w:w="105" w:type="dxa"/>
              <w:right w:w="105" w:type="dxa"/>
            </w:tcMar>
          </w:tcPr>
          <w:p w14:paraId="4718062F" w14:textId="36A9FD3F" w:rsidR="3B355EBA" w:rsidRDefault="3B355EBA" w:rsidP="3B355EBA">
            <w:pPr>
              <w:spacing w:after="0" w:line="240" w:lineRule="auto"/>
              <w:rPr>
                <w:rFonts w:ascii="Times New Roman" w:eastAsia="Times New Roman" w:hAnsi="Times New Roman" w:cs="Times New Roman"/>
              </w:rPr>
            </w:pPr>
            <w:r>
              <w:rPr>
                <w:rFonts w:ascii="Times New Roman" w:hAnsi="Times New Roman" w:eastAsia="Times New Roman"/>
                <w:b/>
                <w:sz w:val="17"/>
              </w:rPr>
              <w:t>Nœud</w:t>
            </w:r>
          </w:p>
        </w:tc>
        <w:tc>
          <w:tcPr>
            <w:tcW w:w="2300" w:type="dxa"/>
            <w:tcMar>
              <w:left w:w="105" w:type="dxa"/>
              <w:right w:w="105" w:type="dxa"/>
            </w:tcMar>
          </w:tcPr>
          <w:p w14:paraId="701CB69A" w14:textId="3E7836ED" w:rsidR="3B355EBA" w:rsidRDefault="3B355EBA" w:rsidP="3B355EBA">
            <w:pPr>
              <w:spacing w:after="0" w:line="240" w:lineRule="auto"/>
              <w:rPr>
                <w:rFonts w:ascii="Times New Roman" w:eastAsia="Times New Roman" w:hAnsi="Times New Roman" w:cs="Times New Roman"/>
              </w:rPr>
            </w:pPr>
            <w:r>
              <w:rPr>
                <w:rFonts w:ascii="Times New Roman" w:hAnsi="Times New Roman" w:eastAsia="Times New Roman"/>
                <w:b/>
                <w:sz w:val="17"/>
              </w:rPr>
              <w:t>Cas d'usage (crise de protection des enfants en ligne)</w:t>
            </w:r>
          </w:p>
        </w:tc>
        <w:tc>
          <w:tcPr>
            <w:tcW w:w="2300" w:type="dxa"/>
            <w:tcMar>
              <w:left w:w="105" w:type="dxa"/>
              <w:right w:w="105" w:type="dxa"/>
            </w:tcMar>
          </w:tcPr>
          <w:p w14:paraId="771B921A" w14:textId="7EC14DE2" w:rsidR="347E3610" w:rsidRDefault="347E3610" w:rsidP="78773EE0">
            <w:pPr>
              <w:spacing w:after="0" w:line="240" w:lineRule="auto"/>
            </w:pPr>
            <w:r>
              <w:rPr>
                <w:rFonts w:ascii="Times New Roman" w:hAnsi="Times New Roman" w:eastAsia="Times New Roman"/>
                <w:b/>
                <w:sz w:val="17"/>
              </w:rPr>
              <w:t>Rapport Readiness 2.0</w:t>
            </w:r>
          </w:p>
        </w:tc>
        <w:tc>
          <w:tcPr>
            <w:tcW w:w="3218" w:type="dxa"/>
            <w:tcMar>
              <w:left w:w="105" w:type="dxa"/>
              <w:right w:w="105" w:type="dxa"/>
            </w:tcMar>
          </w:tcPr>
          <w:p w14:paraId="6BB9BD28" w14:textId="6953EB5E" w:rsidR="3B355EBA" w:rsidRDefault="3B355EBA" w:rsidP="3B355EBA">
            <w:pPr>
              <w:spacing w:after="0" w:line="240" w:lineRule="auto"/>
              <w:rPr>
                <w:rFonts w:ascii="Times New Roman" w:eastAsia="Times New Roman" w:hAnsi="Times New Roman" w:cs="Times New Roman"/>
              </w:rPr>
            </w:pPr>
            <w:r>
              <w:rPr>
                <w:rFonts w:ascii="Times New Roman" w:hAnsi="Times New Roman" w:eastAsia="Times New Roman"/>
                <w:b/>
                <w:sz w:val="17"/>
              </w:rPr>
              <w:t>Documents (politiques, stratégies, réglementations)</w:t>
            </w:r>
          </w:p>
        </w:tc>
      </w:tr>
      <w:tr w:rsidR="3B355EBA" w14:paraId="1192C389" w14:textId="77777777" w:rsidTr="78773EE0">
        <w:trPr/>
        <w:tc>
          <w:tcPr>
            <w:tcW w:w="1541" w:type="dxa"/>
            <w:tcMar>
              <w:left w:w="105" w:type="dxa"/>
              <w:right w:w="105" w:type="dxa"/>
            </w:tcMar>
          </w:tcPr>
          <w:p w14:paraId="3F2D5CF0" w14:textId="42785368" w:rsidR="3B355EBA" w:rsidRDefault="3B355EBA" w:rsidP="3B355EBA">
            <w:pPr>
              <w:spacing w:after="0" w:line="240" w:lineRule="auto"/>
              <w:rPr>
                <w:rFonts w:ascii="Times New Roman" w:eastAsia="Times New Roman" w:hAnsi="Times New Roman" w:cs="Times New Roman"/>
                <w:color w:val="000000" w:themeColor="text1"/>
              </w:rPr>
            </w:pPr>
            <w:r>
              <w:rPr>
                <w:rFonts w:ascii="Times New Roman" w:hAnsi="Times New Roman" w:eastAsia="Times New Roman"/>
                <w:b/>
                <w:sz w:val="17"/>
              </w:rPr>
              <w:t>SRC</w:t>
            </w:r>
          </w:p>
        </w:tc>
        <w:tc>
          <w:tcPr>
            <w:tcW w:w="2300" w:type="dxa"/>
            <w:tcMar>
              <w:left w:w="105" w:type="dxa"/>
              <w:right w:w="105" w:type="dxa"/>
            </w:tcMar>
          </w:tcPr>
          <w:p w14:paraId="2806957D" w14:textId="64358456" w:rsidR="3B355EBA" w:rsidRDefault="3B355EBA" w:rsidP="3B355EBA">
            <w:pPr>
              <w:spacing w:after="0" w:line="240" w:lineRule="auto"/>
              <w:rPr>
                <w:rFonts w:ascii="Times New Roman" w:eastAsia="Times New Roman" w:hAnsi="Times New Roman" w:cs="Times New Roman"/>
                <w:color w:val="000000" w:themeColor="text1"/>
              </w:rPr>
            </w:pPr>
            <w:proofErr w:type="gramStart"/>
            <w:proofErr w:type="gramEnd"/>
            <w:r>
              <w:rPr>
                <w:rFonts w:ascii="Times New Roman" w:hAnsi="Times New Roman" w:eastAsia="Times New Roman"/>
                <w:sz w:val="17"/>
              </w:rPr>
              <w:t>Lois et décrets camerounais officiels ; références étrangères ; corpus stratégique UIT ; alertes agrégées MinorShield</w:t>
            </w:r>
          </w:p>
        </w:tc>
        <w:tc>
          <w:tcPr>
            <w:tcW w:w="2300" w:type="dxa"/>
            <w:tcMar>
              <w:left w:w="105" w:type="dxa"/>
              <w:right w:w="105" w:type="dxa"/>
            </w:tcMar>
          </w:tcPr>
          <w:p w14:paraId="06DA74EA" w14:textId="7F5F7F26" w:rsidR="3C8EB989" w:rsidRDefault="3C8EB989" w:rsidP="78773EE0">
            <w:pPr>
              <w:spacing w:after="0" w:line="240" w:lineRule="auto"/>
            </w:pPr>
            <w:r>
              <w:rPr>
                <w:rFonts w:ascii="Times New Roman" w:hAnsi="Times New Roman" w:eastAsia="Times New Roman"/>
                <w:sz w:val="17"/>
              </w:rPr>
              <w:t>D1 Place de marché données/modèles (propriétés, sources, provenance) ; D4 Contextualisation</w:t>
            </w:r>
          </w:p>
        </w:tc>
        <w:tc>
          <w:tcPr>
            <w:tcW w:w="3218" w:type="dxa"/>
            <w:tcMar>
              <w:left w:w="105" w:type="dxa"/>
              <w:right w:w="105" w:type="dxa"/>
            </w:tcMar>
          </w:tcPr>
          <w:p w14:paraId="0F6C8F7C" w14:textId="580EA522" w:rsidR="3B355EBA" w:rsidRDefault="3B355EBA" w:rsidP="3B355EBA">
            <w:pPr>
              <w:spacing w:after="0" w:line="240" w:lineRule="auto"/>
              <w:rPr>
                <w:rFonts w:ascii="Times New Roman" w:eastAsia="Times New Roman" w:hAnsi="Times New Roman" w:cs="Times New Roman"/>
                <w:color w:val="000000" w:themeColor="text1"/>
              </w:rPr>
            </w:pPr>
            <w:r>
              <w:rPr>
                <w:rFonts w:ascii="Times New Roman" w:hAnsi="Times New Roman" w:eastAsia="Times New Roman"/>
                <w:sz w:val="17"/>
              </w:rPr>
              <w:t>Loi 2023/009 (Charte de protection des enfants en ligne) ; loi 2010/012 (cybersécurité) ; décret 2019/150 (ANTIC) ; loi 2024/017 (données personnelles, texte non disponible)</w:t>
            </w:r>
          </w:p>
        </w:tc>
      </w:tr>
      <w:tr w:rsidR="3B355EBA" w14:paraId="3EFD1671" w14:textId="77777777" w:rsidTr="78773EE0">
        <w:trPr/>
        <w:tc>
          <w:tcPr>
            <w:tcW w:w="1541" w:type="dxa"/>
            <w:tcMar>
              <w:left w:w="105" w:type="dxa"/>
              <w:right w:w="105" w:type="dxa"/>
            </w:tcMar>
          </w:tcPr>
          <w:p w14:paraId="132C3FDA" w14:textId="7A46E79D" w:rsidR="3B355EBA" w:rsidRDefault="3B355EBA" w:rsidP="3B355EBA">
            <w:pPr>
              <w:spacing w:after="0" w:line="240" w:lineRule="auto"/>
              <w:rPr>
                <w:rFonts w:ascii="Times New Roman" w:eastAsia="Times New Roman" w:hAnsi="Times New Roman" w:cs="Times New Roman"/>
                <w:color w:val="000000" w:themeColor="text1"/>
              </w:rPr>
            </w:pPr>
            <w:r>
              <w:rPr>
                <w:rFonts w:ascii="Times New Roman" w:hAnsi="Times New Roman" w:eastAsia="Times New Roman"/>
                <w:b/>
                <w:sz w:val="17"/>
              </w:rPr>
              <w:t>C</w:t>
            </w:r>
          </w:p>
        </w:tc>
        <w:tc>
          <w:tcPr>
            <w:tcW w:w="2300" w:type="dxa"/>
            <w:tcMar>
              <w:left w:w="105" w:type="dxa"/>
              <w:right w:w="105" w:type="dxa"/>
            </w:tcMar>
          </w:tcPr>
          <w:p w14:paraId="07A82C8D" w14:textId="14EB5077" w:rsidR="3B355EBA" w:rsidRDefault="3B355EBA" w:rsidP="3B355EBA">
            <w:pPr>
              <w:spacing w:after="0" w:line="240" w:lineRule="auto"/>
              <w:rPr>
                <w:rFonts w:ascii="Times New Roman" w:eastAsia="Times New Roman" w:hAnsi="Times New Roman" w:cs="Times New Roman"/>
                <w:color w:val="000000" w:themeColor="text1"/>
              </w:rPr>
            </w:pPr>
            <w:r>
              <w:rPr>
                <w:rFonts w:ascii="Times New Roman" w:hAnsi="Times New Roman" w:eastAsia="Times New Roman"/>
                <w:sz w:val="17"/>
              </w:rPr>
              <w:t>Scripts d'ingestion : PDF/HTML vers texte, découpage du recueil officiel, ajout incrémental</w:t>
            </w:r>
          </w:p>
        </w:tc>
        <w:tc>
          <w:tcPr>
            <w:tcW w:w="2300" w:type="dxa"/>
            <w:tcMar>
              <w:left w:w="105" w:type="dxa"/>
              <w:right w:w="105" w:type="dxa"/>
            </w:tcMar>
          </w:tcPr>
          <w:p w14:paraId="00F142B6" w14:textId="59928C05" w:rsidR="38DF0D16" w:rsidRDefault="38DF0D16" w:rsidP="78773EE0">
            <w:pPr>
              <w:spacing w:after="0" w:line="240" w:lineRule="auto"/>
            </w:pPr>
            <w:r>
              <w:rPr>
                <w:rFonts w:ascii="Times New Roman" w:hAnsi="Times New Roman" w:eastAsia="Times New Roman"/>
                <w:sz w:val="17"/>
              </w:rPr>
              <w:t>D3 Corrélation inter-domaines (lois, stratégies, cas d'usage) ; D13 Infrastructure numérique (PC sans carte graphique)</w:t>
            </w:r>
          </w:p>
        </w:tc>
        <w:tc>
          <w:tcPr>
            <w:tcW w:w="3218" w:type="dxa"/>
            <w:tcMar>
              <w:left w:w="105" w:type="dxa"/>
              <w:right w:w="105" w:type="dxa"/>
            </w:tcMar>
          </w:tcPr>
          <w:p w14:paraId="34C5DE4C" w14:textId="39758B9C" w:rsidR="3B355EBA" w:rsidRDefault="3B355EBA" w:rsidP="3B355EBA">
            <w:pPr>
              <w:spacing w:after="0" w:line="240" w:lineRule="auto"/>
              <w:rPr>
                <w:rFonts w:ascii="Times New Roman" w:eastAsia="Times New Roman" w:hAnsi="Times New Roman" w:cs="Times New Roman"/>
                <w:color w:val="000000" w:themeColor="text1"/>
              </w:rPr>
            </w:pPr>
            <w:r>
              <w:rPr>
                <w:rFonts w:ascii="Times New Roman" w:hAnsi="Times New Roman" w:eastAsia="Times New Roman"/>
                <w:sz w:val="17"/>
              </w:rPr>
              <w:t>Code de référence UIT (ITUAIReadiness, licence MIT) ; registre de provenance (bd/SOURCES.md)</w:t>
            </w:r>
          </w:p>
        </w:tc>
      </w:tr>
      <w:tr w:rsidR="3B355EBA" w14:paraId="693735BB" w14:textId="77777777" w:rsidTr="78773EE0">
        <w:trPr/>
        <w:tc>
          <w:tcPr>
            <w:tcW w:w="1541" w:type="dxa"/>
            <w:tcMar>
              <w:left w:w="105" w:type="dxa"/>
              <w:right w:w="105" w:type="dxa"/>
            </w:tcMar>
          </w:tcPr>
          <w:p w14:paraId="5462EED1" w14:textId="02892843" w:rsidR="3B355EBA" w:rsidRDefault="3B355EBA" w:rsidP="3B355EBA">
            <w:pPr>
              <w:spacing w:after="0" w:line="240" w:lineRule="auto"/>
              <w:rPr>
                <w:rFonts w:ascii="Times New Roman" w:eastAsia="Times New Roman" w:hAnsi="Times New Roman" w:cs="Times New Roman"/>
                <w:color w:val="000000" w:themeColor="text1"/>
              </w:rPr>
            </w:pPr>
            <w:r>
              <w:rPr>
                <w:rFonts w:ascii="Times New Roman" w:hAnsi="Times New Roman" w:eastAsia="Times New Roman"/>
                <w:b/>
                <w:sz w:val="17"/>
              </w:rPr>
              <w:t>PP</w:t>
            </w:r>
          </w:p>
        </w:tc>
        <w:tc>
          <w:tcPr>
            <w:tcW w:w="2300" w:type="dxa"/>
            <w:tcMar>
              <w:left w:w="105" w:type="dxa"/>
              <w:right w:w="105" w:type="dxa"/>
            </w:tcMar>
          </w:tcPr>
          <w:p w14:paraId="50BDC54C" w14:textId="63E5AF67" w:rsidR="3B355EBA" w:rsidRDefault="3B355EBA" w:rsidP="3B355EBA">
            <w:pPr>
              <w:spacing w:after="0" w:line="240" w:lineRule="auto"/>
              <w:rPr>
                <w:rFonts w:ascii="Times New Roman" w:eastAsia="Times New Roman" w:hAnsi="Times New Roman" w:cs="Times New Roman"/>
                <w:color w:val="000000" w:themeColor="text1"/>
              </w:rPr>
            </w:pPr>
            <w:r>
              <w:rPr>
                <w:rFonts w:ascii="Times New Roman" w:hAnsi="Times New Roman" w:eastAsia="Times New Roman"/>
                <w:sz w:val="17"/>
              </w:rPr>
              <w:t>Découpage par article avec page ; étiquetage pays et type ; embeddings bge-m3 locaux ; base vectorielle</w:t>
            </w:r>
          </w:p>
        </w:tc>
        <w:tc>
          <w:tcPr>
            <w:tcW w:w="2300" w:type="dxa"/>
            <w:tcMar>
              <w:left w:w="105" w:type="dxa"/>
              <w:right w:w="105" w:type="dxa"/>
            </w:tcMar>
          </w:tcPr>
          <w:p w14:paraId="078723A0" w14:textId="3901DBB3" w:rsidR="0DE2D318" w:rsidRDefault="0DE2D318" w:rsidP="78773EE0">
            <w:pPr>
              <w:spacing w:after="0" w:line="240" w:lineRule="auto"/>
            </w:pPr>
            <w:r>
              <w:rPr>
                <w:rFonts w:ascii="Times New Roman" w:hAnsi="Times New Roman" w:eastAsia="Times New Roman"/>
                <w:sz w:val="17"/>
              </w:rPr>
              <w:t>D1 métadonnées ; facteur Normes (unités interopérables et citables)</w:t>
            </w:r>
          </w:p>
        </w:tc>
        <w:tc>
          <w:tcPr>
            <w:tcW w:w="3218" w:type="dxa"/>
            <w:tcMar>
              <w:left w:w="105" w:type="dxa"/>
              <w:right w:w="105" w:type="dxa"/>
            </w:tcMar>
          </w:tcPr>
          <w:p w14:paraId="3D26FBAA" w14:textId="7A9407F9" w:rsidR="3B355EBA" w:rsidRDefault="3B355EBA" w:rsidP="3B355EBA">
            <w:pPr>
              <w:spacing w:after="0" w:line="240" w:lineRule="auto"/>
              <w:rPr>
                <w:rFonts w:ascii="Times New Roman" w:eastAsia="Times New Roman" w:hAnsi="Times New Roman" w:cs="Times New Roman"/>
              </w:rPr>
            </w:pPr>
            <w:r>
              <w:rPr>
                <w:rFonts w:ascii="Times New Roman" w:hAnsi="Times New Roman" w:eastAsia="Times New Roman"/>
                <w:sz w:val="17"/>
              </w:rPr>
              <w:t>UIT-T Y.3172 (prétraitement) ; numérotation officielle des articles</w:t>
            </w:r>
          </w:p>
        </w:tc>
      </w:tr>
      <w:tr w:rsidR="3B355EBA" w14:paraId="615EC48C" w14:textId="77777777" w:rsidTr="78773EE0">
        <w:trPr/>
        <w:tc>
          <w:tcPr>
            <w:tcW w:w="1541" w:type="dxa"/>
            <w:tcMar>
              <w:left w:w="105" w:type="dxa"/>
              <w:right w:w="105" w:type="dxa"/>
            </w:tcMar>
          </w:tcPr>
          <w:p w14:paraId="4C90E070" w14:textId="0F295A16" w:rsidR="3B355EBA" w:rsidRDefault="3B355EBA" w:rsidP="3B355EBA">
            <w:pPr>
              <w:spacing w:after="0" w:line="240" w:lineRule="auto"/>
              <w:rPr>
                <w:rFonts w:ascii="Times New Roman" w:eastAsia="Times New Roman" w:hAnsi="Times New Roman" w:cs="Times New Roman"/>
                <w:color w:val="000000" w:themeColor="text1"/>
              </w:rPr>
            </w:pPr>
            <w:r>
              <w:rPr>
                <w:rFonts w:ascii="Times New Roman" w:hAnsi="Times New Roman" w:eastAsia="Times New Roman"/>
                <w:b/>
                <w:sz w:val="17"/>
              </w:rPr>
              <w:t>M</w:t>
            </w:r>
          </w:p>
        </w:tc>
        <w:tc>
          <w:tcPr>
            <w:tcW w:w="2300" w:type="dxa"/>
            <w:tcMar>
              <w:left w:w="105" w:type="dxa"/>
              <w:right w:w="105" w:type="dxa"/>
            </w:tcMar>
          </w:tcPr>
          <w:p w14:paraId="63DB4D10" w14:textId="02ED8720" w:rsidR="3B355EBA" w:rsidRDefault="3B355EBA" w:rsidP="3B355EBA">
            <w:pPr>
              <w:spacing w:after="0" w:line="240" w:lineRule="auto"/>
              <w:rPr>
                <w:rFonts w:ascii="Times New Roman" w:eastAsia="Times New Roman" w:hAnsi="Times New Roman" w:cs="Times New Roman"/>
                <w:color w:val="000000" w:themeColor="text1"/>
              </w:rPr>
            </w:pPr>
            <w:r>
              <w:rPr>
                <w:rFonts w:ascii="Times New Roman" w:hAnsi="Times New Roman" w:eastAsia="Times New Roman"/>
                <w:sz w:val="17"/>
              </w:rPr>
              <w:t>15 agents sur gpt-oss-120b à poids ouverts, recherche augmentée, JSON structuré avec raisonnement explicite</w:t>
            </w:r>
          </w:p>
        </w:tc>
        <w:tc>
          <w:tcPr>
            <w:tcW w:w="2300" w:type="dxa"/>
            <w:tcMar>
              <w:left w:w="105" w:type="dxa"/>
              <w:right w:w="105" w:type="dxa"/>
            </w:tcMar>
          </w:tcPr>
          <w:p w14:paraId="55755B57" w14:textId="4EC6812A" w:rsidR="1F373516" w:rsidRDefault="1F373516" w:rsidP="78773EE0">
            <w:pPr>
              <w:spacing w:after="0" w:line="240" w:lineRule="auto"/>
            </w:pPr>
            <w:r>
              <w:rPr>
                <w:rFonts w:ascii="Times New Roman" w:hAnsi="Times New Roman" w:eastAsia="Times New Roman"/>
                <w:sz w:val="17"/>
              </w:rPr>
              <w:t>D5 Intégration dans les processus ; D9 Rôle des humains (fiches tirées des mandats légaux) ; facteur Open source</w:t>
            </w:r>
          </w:p>
        </w:tc>
        <w:tc>
          <w:tcPr>
            <w:tcW w:w="3218" w:type="dxa"/>
            <w:tcMar>
              <w:left w:w="105" w:type="dxa"/>
              <w:right w:w="105" w:type="dxa"/>
            </w:tcMar>
          </w:tcPr>
          <w:p w14:paraId="2B7D959A" w14:textId="76810B27" w:rsidR="3B355EBA" w:rsidRDefault="3B355EBA" w:rsidP="3B355EBA">
            <w:pPr>
              <w:spacing w:after="0" w:line="240" w:lineRule="auto"/>
              <w:rPr>
                <w:rFonts w:ascii="Times New Roman" w:eastAsia="Times New Roman" w:hAnsi="Times New Roman" w:cs="Times New Roman"/>
                <w:color w:val="000000" w:themeColor="text1"/>
              </w:rPr>
            </w:pPr>
            <w:r>
              <w:rPr>
                <w:rFonts w:ascii="Times New Roman" w:hAnsi="Times New Roman" w:eastAsia="Times New Roman"/>
                <w:sz w:val="17"/>
              </w:rPr>
              <w:t>Code de conduite G7 d'Hiroshima ; cadre de gouvernance de l'IA générative de Singapour 2024 ; AI Act européen (résumé)</w:t>
            </w:r>
          </w:p>
        </w:tc>
      </w:tr>
      <w:tr w:rsidR="3B355EBA" w14:paraId="5B9AA44C" w14:textId="77777777" w:rsidTr="78773EE0">
        <w:trPr/>
        <w:tc>
          <w:tcPr>
            <w:tcW w:w="1541" w:type="dxa"/>
            <w:tcMar>
              <w:left w:w="105" w:type="dxa"/>
              <w:right w:w="105" w:type="dxa"/>
            </w:tcMar>
          </w:tcPr>
          <w:p w14:paraId="4A051596" w14:textId="4EFBBEFD" w:rsidR="3B355EBA" w:rsidRDefault="3B355EBA" w:rsidP="3B355EBA">
            <w:pPr>
              <w:spacing w:after="0" w:line="240" w:lineRule="auto"/>
              <w:rPr>
                <w:rFonts w:ascii="Times New Roman" w:eastAsia="Times New Roman" w:hAnsi="Times New Roman" w:cs="Times New Roman"/>
                <w:color w:val="000000" w:themeColor="text1"/>
              </w:rPr>
            </w:pPr>
            <w:r>
              <w:rPr>
                <w:rFonts w:ascii="Times New Roman" w:hAnsi="Times New Roman" w:eastAsia="Times New Roman"/>
                <w:b/>
                <w:sz w:val="17"/>
              </w:rPr>
              <w:t>P</w:t>
            </w:r>
          </w:p>
        </w:tc>
        <w:tc>
          <w:tcPr>
            <w:tcW w:w="2300" w:type="dxa"/>
            <w:tcMar>
              <w:left w:w="105" w:type="dxa"/>
              <w:right w:w="105" w:type="dxa"/>
            </w:tcMar>
          </w:tcPr>
          <w:p w14:paraId="4E5FC059" w14:textId="24BA5A12" w:rsidR="3B355EBA" w:rsidRDefault="3B355EBA" w:rsidP="3B355EBA">
            <w:pPr>
              <w:spacing w:after="0" w:line="240" w:lineRule="auto"/>
              <w:rPr>
                <w:rFonts w:ascii="Times New Roman" w:eastAsia="Times New Roman" w:hAnsi="Times New Roman" w:cs="Times New Roman"/>
                <w:color w:val="000000" w:themeColor="text1"/>
              </w:rPr>
            </w:pPr>
            <w:proofErr w:type="gramStart"/>
            <w:proofErr w:type="gramEnd"/>
            <w:r>
              <w:rPr>
                <w:rFonts w:ascii="Times New Roman" w:hAnsi="Times New Roman" w:eastAsia="Times New Roman"/>
                <w:sz w:val="17"/>
              </w:rPr>
              <w:t>Visibilité de l'information par agent ; règle « citer ou signaler » ; limites de mandat ; verdicts du conseiller ; vérification automatique</w:t>
            </w:r>
          </w:p>
        </w:tc>
        <w:tc>
          <w:tcPr>
            <w:tcW w:w="2300" w:type="dxa"/>
            <w:tcMar>
              <w:left w:w="105" w:type="dxa"/>
              <w:right w:w="105" w:type="dxa"/>
            </w:tcMar>
          </w:tcPr>
          <w:p w14:paraId="508B09FC" w14:textId="26281D66" w:rsidR="7DC98014" w:rsidRDefault="7DC98014" w:rsidP="78773EE0">
            <w:pPr>
              <w:spacing w:after="0" w:line="240" w:lineRule="auto"/>
            </w:pPr>
            <w:r>
              <w:rPr>
                <w:rFonts w:ascii="Times New Roman" w:hAnsi="Times New Roman" w:eastAsia="Times New Roman"/>
                <w:sz w:val="17"/>
              </w:rPr>
              <w:t>D10 IA et politiques ; D8 Collaboration avec l'IA</w:t>
            </w:r>
          </w:p>
        </w:tc>
        <w:tc>
          <w:tcPr>
            <w:tcW w:w="3218" w:type="dxa"/>
            <w:tcMar>
              <w:left w:w="105" w:type="dxa"/>
              <w:right w:w="105" w:type="dxa"/>
            </w:tcMar>
          </w:tcPr>
          <w:p w14:paraId="6EC227E8" w14:textId="0C865745" w:rsidR="3B355EBA" w:rsidRDefault="3B355EBA" w:rsidP="3B355EBA">
            <w:pPr>
              <w:spacing w:after="0" w:line="240" w:lineRule="auto"/>
              <w:rPr>
                <w:rFonts w:ascii="Times New Roman" w:eastAsia="Times New Roman" w:hAnsi="Times New Roman" w:cs="Times New Roman"/>
                <w:color w:val="000000" w:themeColor="text1"/>
              </w:rPr>
            </w:pPr>
            <w:r>
              <w:rPr>
                <w:rFonts w:ascii="Times New Roman" w:hAnsi="Times New Roman" w:eastAsia="Times New Roman"/>
                <w:sz w:val="17"/>
              </w:rPr>
              <w:t>Loi 2023/009 art. 4 à 10, 14, 27 à 33 (mandats et sanctions) ; Livre blanc du système des Nations unies sur la gouvernance de l'IA 2024</w:t>
            </w:r>
          </w:p>
        </w:tc>
      </w:tr>
      <w:tr w:rsidR="3B355EBA" w14:paraId="4476D063" w14:textId="77777777" w:rsidTr="78773EE0">
        <w:trPr/>
        <w:tc>
          <w:tcPr>
            <w:tcW w:w="1541" w:type="dxa"/>
            <w:tcMar>
              <w:left w:w="105" w:type="dxa"/>
              <w:right w:w="105" w:type="dxa"/>
            </w:tcMar>
          </w:tcPr>
          <w:p w14:paraId="425CC24B" w14:textId="79C042D1" w:rsidR="3B355EBA" w:rsidRDefault="3B355EBA" w:rsidP="3B355EBA">
            <w:pPr>
              <w:spacing w:after="0" w:line="240" w:lineRule="auto"/>
              <w:rPr>
                <w:rFonts w:ascii="Times New Roman" w:eastAsia="Times New Roman" w:hAnsi="Times New Roman" w:cs="Times New Roman"/>
                <w:color w:val="000000" w:themeColor="text1"/>
              </w:rPr>
            </w:pPr>
            <w:r>
              <w:rPr>
                <w:rFonts w:ascii="Times New Roman" w:hAnsi="Times New Roman" w:eastAsia="Times New Roman"/>
                <w:b/>
                <w:sz w:val="17"/>
              </w:rPr>
              <w:t>D</w:t>
            </w:r>
          </w:p>
        </w:tc>
        <w:tc>
          <w:tcPr>
            <w:tcW w:w="2300" w:type="dxa"/>
            <w:tcMar>
              <w:left w:w="105" w:type="dxa"/>
              <w:right w:w="105" w:type="dxa"/>
            </w:tcMar>
          </w:tcPr>
          <w:p w14:paraId="66179F04" w14:textId="4A3961A6" w:rsidR="3B355EBA" w:rsidRDefault="3B355EBA" w:rsidP="3B355EBA">
            <w:pPr>
              <w:spacing w:after="0" w:line="240" w:lineRule="auto"/>
              <w:rPr>
                <w:rFonts w:ascii="Times New Roman" w:eastAsia="Times New Roman" w:hAnsi="Times New Roman" w:cs="Times New Roman"/>
                <w:color w:val="000000" w:themeColor="text1"/>
              </w:rPr>
            </w:pPr>
            <w:r>
              <w:rPr>
                <w:rFonts w:ascii="Times New Roman" w:hAnsi="Times New Roman" w:eastAsia="Times New Roman"/>
                <w:sz w:val="17"/>
              </w:rPr>
              <w:t>L'animateur transmet les demandes entre agents (4 au plus par étape) et renvoie les réponses</w:t>
            </w:r>
          </w:p>
        </w:tc>
        <w:tc>
          <w:tcPr>
            <w:tcW w:w="2300" w:type="dxa"/>
            <w:tcMar>
              <w:left w:w="105" w:type="dxa"/>
              <w:right w:w="105" w:type="dxa"/>
            </w:tcMar>
          </w:tcPr>
          <w:p w14:paraId="29CB0D9D" w14:textId="5D1EE61A" w:rsidR="78773EE0" w:rsidRDefault="78773EE0" w:rsidP="78773EE0">
            <w:pPr>
              <w:spacing w:after="0" w:line="240" w:lineRule="auto"/>
              <w:rPr>
                <w:rFonts w:ascii="Times New Roman" w:eastAsia="Times New Roman" w:hAnsi="Times New Roman" w:cs="Times New Roman"/>
                <w:color w:val="000000" w:themeColor="text1"/>
              </w:rPr>
            </w:pPr>
            <w:r>
              <w:rPr>
                <w:rFonts w:ascii="Times New Roman" w:hAnsi="Times New Roman" w:eastAsia="Times New Roman"/>
                <w:sz w:val="17"/>
              </w:rPr>
              <w:t>D7 Alignement stratégique ; D6 Interface humaine</w:t>
            </w:r>
          </w:p>
        </w:tc>
        <w:tc>
          <w:tcPr>
            <w:tcW w:w="3218" w:type="dxa"/>
            <w:tcMar>
              <w:left w:w="105" w:type="dxa"/>
              <w:right w:w="105" w:type="dxa"/>
            </w:tcMar>
          </w:tcPr>
          <w:p w14:paraId="618A4865" w14:textId="490A9EB4" w:rsidR="3B355EBA" w:rsidRDefault="3B355EBA" w:rsidP="3B355EBA">
            <w:pPr>
              <w:spacing w:after="0" w:line="240" w:lineRule="auto"/>
              <w:rPr>
                <w:rFonts w:ascii="Times New Roman" w:eastAsia="Times New Roman" w:hAnsi="Times New Roman" w:cs="Times New Roman"/>
                <w:color w:val="000000" w:themeColor="text1"/>
              </w:rPr>
            </w:pPr>
            <w:r>
              <w:rPr>
                <w:rFonts w:ascii="Times New Roman" w:hAnsi="Times New Roman" w:eastAsia="Times New Roman"/>
                <w:sz w:val="17"/>
              </w:rPr>
              <w:t>Interfaces Y.3172 ; absence d'organe camerounais de coordination de crise (lacune relevée)</w:t>
            </w:r>
          </w:p>
        </w:tc>
      </w:tr>
      <w:tr w:rsidR="3B355EBA" w14:paraId="426E9D91" w14:textId="77777777" w:rsidTr="78773EE0">
        <w:trPr/>
        <w:tc>
          <w:tcPr>
            <w:tcW w:w="1541" w:type="dxa"/>
            <w:tcMar>
              <w:left w:w="105" w:type="dxa"/>
              <w:right w:w="105" w:type="dxa"/>
            </w:tcMar>
          </w:tcPr>
          <w:p w14:paraId="7B2D6950" w14:textId="68DD41C5" w:rsidR="3B355EBA" w:rsidRDefault="3B355EBA" w:rsidP="3B355EBA">
            <w:pPr>
              <w:spacing w:after="0" w:line="240" w:lineRule="auto"/>
              <w:rPr>
                <w:rFonts w:ascii="Times New Roman" w:eastAsia="Times New Roman" w:hAnsi="Times New Roman" w:cs="Times New Roman"/>
                <w:color w:val="000000" w:themeColor="text1"/>
              </w:rPr>
            </w:pPr>
            <w:r>
              <w:rPr>
                <w:rFonts w:ascii="Times New Roman" w:hAnsi="Times New Roman" w:eastAsia="Times New Roman"/>
                <w:b/>
                <w:sz w:val="17"/>
              </w:rPr>
              <w:t>SINK</w:t>
            </w:r>
          </w:p>
        </w:tc>
        <w:tc>
          <w:tcPr>
            <w:tcW w:w="2300" w:type="dxa"/>
            <w:tcMar>
              <w:left w:w="105" w:type="dxa"/>
              <w:right w:w="105" w:type="dxa"/>
            </w:tcMar>
          </w:tcPr>
          <w:p w14:paraId="18476FC2" w14:textId="05DEDB2C" w:rsidR="3B355EBA" w:rsidRDefault="3B355EBA" w:rsidP="3B355EBA">
            <w:pPr>
              <w:spacing w:after="0" w:line="240" w:lineRule="auto"/>
              <w:rPr>
                <w:rFonts w:ascii="Times New Roman" w:eastAsia="Times New Roman" w:hAnsi="Times New Roman" w:cs="Times New Roman"/>
                <w:color w:val="000000" w:themeColor="text1"/>
              </w:rPr>
            </w:pPr>
            <w:r>
              <w:rPr>
                <w:rFonts w:ascii="Times New Roman" w:hAnsi="Times New Roman" w:eastAsia="Times New Roman"/>
                <w:sz w:val="17"/>
              </w:rPr>
              <w:t>Journal d'audit (JSONL), rapport lisible, page de démonstration autonome, tableau des lacunes face à l'UE, au Royaume-Uni, aux États-Unis et à l'Australie</w:t>
            </w:r>
          </w:p>
        </w:tc>
        <w:tc>
          <w:tcPr>
            <w:tcW w:w="2300" w:type="dxa"/>
            <w:tcMar>
              <w:left w:w="105" w:type="dxa"/>
              <w:right w:w="105" w:type="dxa"/>
            </w:tcMar>
          </w:tcPr>
          <w:p w14:paraId="4005DC09" w14:textId="09414333" w:rsidR="36B56B16" w:rsidRDefault="36B56B16" w:rsidP="78773EE0">
            <w:pPr>
              <w:spacing w:after="0" w:line="240" w:lineRule="auto"/>
            </w:pPr>
            <w:r>
              <w:rPr>
                <w:rFonts w:ascii="Times New Roman" w:hAnsi="Times New Roman" w:eastAsia="Times New Roman"/>
                <w:sz w:val="17"/>
              </w:rPr>
              <w:t>D10 IA et politiques ; D11 IA pour l'inclusion ; D12 Priorités fines (tranches d'âge 15 et 19 ans)</w:t>
            </w:r>
          </w:p>
        </w:tc>
        <w:tc>
          <w:tcPr>
            <w:tcW w:w="3218" w:type="dxa"/>
            <w:tcMar>
              <w:left w:w="105" w:type="dxa"/>
              <w:right w:w="105" w:type="dxa"/>
            </w:tcMar>
          </w:tcPr>
          <w:p w14:paraId="65D1204F" w14:textId="38EEE6EF" w:rsidR="3B355EBA" w:rsidRDefault="3B355EBA" w:rsidP="3B355EBA">
            <w:pPr>
              <w:spacing w:after="0" w:line="240" w:lineRule="auto"/>
              <w:rPr>
                <w:rFonts w:ascii="Times New Roman" w:eastAsia="Times New Roman" w:hAnsi="Times New Roman" w:cs="Times New Roman"/>
              </w:rPr>
            </w:pPr>
            <w:r>
              <w:rPr>
                <w:rFonts w:ascii="Times New Roman" w:hAnsi="Times New Roman" w:eastAsia="Times New Roman"/>
                <w:sz w:val="17"/>
              </w:rPr>
              <w:t>DSA ; RGPD (art. 33) ; Online Safety Act 2023 (Royaume-Uni) ; règle COPPA (États-Unis) ; Online Safety Act 2021 (Australie)</w:t>
            </w:r>
          </w:p>
        </w:tc>
      </w:tr>
      <w:tr w:rsidR="3B355EBA" w14:paraId="426E9D91" w14:textId="77777777" w:rsidTr="78773EE0">
        <w:trPr/>
        <w:tc>
          <w:tcPr>
            <w:tcW w:w="1541" w:type="dxa"/>
            <w:tcMar>
              <w:left w:w="105" w:type="dxa"/>
              <w:right w:w="105" w:type="dxa"/>
            </w:tcMar>
          </w:tcPr>
          <w:p w14:paraId="7B2D6950" w14:textId="68DD41C5" w:rsidR="3B355EBA" w:rsidRDefault="3B355EBA" w:rsidP="3B355EBA">
            <w:pPr>
              <w:spacing w:after="0" w:line="240" w:lineRule="auto"/>
              <w:rPr>
                <w:rFonts w:ascii="Times New Roman" w:eastAsia="Times New Roman" w:hAnsi="Times New Roman" w:cs="Times New Roman"/>
                <w:color w:val="000000" w:themeColor="text1"/>
              </w:rPr>
            </w:pPr>
            <w:r>
              <w:rPr>
                <w:rFonts w:ascii="Times New Roman" w:hAnsi="Times New Roman" w:eastAsia="Times New Roman"/>
                <w:b/>
                <w:sz w:val="17"/>
              </w:rPr>
              <w:t>Bac à sable</w:t>
            </w:r>
          </w:p>
        </w:tc>
        <w:tc>
          <w:tcPr>
            <w:tcW w:w="2300" w:type="dxa"/>
            <w:tcMar>
              <w:left w:w="105" w:type="dxa"/>
              <w:right w:w="105" w:type="dxa"/>
            </w:tcMar>
          </w:tcPr>
          <w:p w14:paraId="18476FC2" w14:textId="05DEDB2C" w:rsidR="3B355EBA" w:rsidRDefault="3B355EBA" w:rsidP="3B355EBA">
            <w:pPr>
              <w:spacing w:after="0" w:line="240" w:lineRule="auto"/>
              <w:rPr>
                <w:rFonts w:ascii="Times New Roman" w:eastAsia="Times New Roman" w:hAnsi="Times New Roman" w:cs="Times New Roman"/>
                <w:color w:val="000000" w:themeColor="text1"/>
              </w:rPr>
            </w:pPr>
            <w:r>
              <w:rPr>
                <w:rFonts w:ascii="Times New Roman" w:hAnsi="Times New Roman" w:eastAsia="Times New Roman"/>
                <w:sz w:val="17"/>
              </w:rPr>
              <w:t>La simulation de crise elle-même : les politiques sont testées sans conséquence réelle</w:t>
            </w:r>
          </w:p>
        </w:tc>
        <w:tc>
          <w:tcPr>
            <w:tcW w:w="2300" w:type="dxa"/>
            <w:tcMar>
              <w:left w:w="105" w:type="dxa"/>
              <w:right w:w="105" w:type="dxa"/>
            </w:tcMar>
          </w:tcPr>
          <w:p w14:paraId="4005DC09" w14:textId="09414333" w:rsidR="36B56B16" w:rsidRDefault="36B56B16" w:rsidP="78773EE0">
            <w:pPr>
              <w:spacing w:after="0" w:line="240" w:lineRule="auto"/>
            </w:pPr>
            <w:r>
              <w:rPr>
                <w:rFonts w:ascii="Times New Roman" w:hAnsi="Times New Roman" w:eastAsia="Times New Roman"/>
                <w:sz w:val="17"/>
              </w:rPr>
              <w:t>Facteur Bac à sable ; D10 (expérimentation de politiques)</w:t>
            </w:r>
          </w:p>
        </w:tc>
        <w:tc>
          <w:tcPr>
            <w:tcW w:w="3218" w:type="dxa"/>
            <w:tcMar>
              <w:left w:w="105" w:type="dxa"/>
              <w:right w:w="105" w:type="dxa"/>
            </w:tcMar>
          </w:tcPr>
          <w:p w14:paraId="65D1204F" w14:textId="38EEE6EF" w:rsidR="3B355EBA" w:rsidRDefault="3B355EBA" w:rsidP="3B355EBA">
            <w:pPr>
              <w:spacing w:after="0" w:line="240" w:lineRule="auto"/>
              <w:rPr>
                <w:rFonts w:ascii="Times New Roman" w:eastAsia="Times New Roman" w:hAnsi="Times New Roman" w:cs="Times New Roman"/>
              </w:rPr>
            </w:pPr>
            <w:r>
              <w:rPr>
                <w:rFonts w:ascii="Times New Roman" w:hAnsi="Times New Roman" w:eastAsia="Times New Roman"/>
                <w:sz w:val="17"/>
              </w:rPr>
              <w:t>Bac à sable AI for Good de l'UIT ; AI Ready Framework 2025</w:t>
            </w:r>
          </w:p>
        </w:tc>
      </w:tr>
    </w:tbl>
    <w:p>
      <w:pPr>
        <w:spacing w:after="60" w:before="100" w:line="240" w:lineRule="auto"/>
        <w:jc w:val="both"/>
      </w:pPr>
      <w:r>
        <w:rPr>
          <w:rFonts w:ascii="Times New Roman" w:hAnsi="Times New Roman" w:eastAsia="Times New Roman"/>
          <w:sz w:val="21"/>
        </w:rPr>
        <w:t>Au-delà des données et du modèle, la correspondance couvre l'</w:t>
      </w:r>
      <w:r>
        <w:rPr>
          <w:rFonts w:ascii="Times New Roman" w:hAnsi="Times New Roman" w:eastAsia="Times New Roman"/>
          <w:b/>
          <w:sz w:val="21"/>
        </w:rPr>
        <w:t>alignement stratégique</w:t>
      </w:r>
      <w:r>
        <w:rPr>
          <w:rFonts w:ascii="Times New Roman" w:hAnsi="Times New Roman" w:eastAsia="Times New Roman"/>
          <w:sz w:val="21"/>
        </w:rPr>
        <w:t xml:space="preserve"> (D7 : 13 institutions agissant sur une même base légale), l'</w:t>
      </w:r>
      <w:r>
        <w:rPr>
          <w:rFonts w:ascii="Times New Roman" w:hAnsi="Times New Roman" w:eastAsia="Times New Roman"/>
          <w:b/>
          <w:sz w:val="21"/>
        </w:rPr>
        <w:t>interface humaine</w:t>
      </w:r>
      <w:r>
        <w:rPr>
          <w:rFonts w:ascii="Times New Roman" w:hAnsi="Times New Roman" w:eastAsia="Times New Roman"/>
          <w:sz w:val="21"/>
        </w:rPr>
        <w:t xml:space="preserve"> (D6 : une page de démonstration en un seul fichier où chaque décision ouvre l'article exact sur lequel elle repose), la </w:t>
      </w:r>
      <w:r>
        <w:rPr>
          <w:rFonts w:ascii="Times New Roman" w:hAnsi="Times New Roman" w:eastAsia="Times New Roman"/>
          <w:b/>
          <w:sz w:val="21"/>
        </w:rPr>
        <w:t>collaboration entre IA et humains</w:t>
      </w:r>
      <w:r>
        <w:rPr>
          <w:rFonts w:ascii="Times New Roman" w:hAnsi="Times New Roman" w:eastAsia="Times New Roman"/>
          <w:sz w:val="21"/>
        </w:rPr>
        <w:t xml:space="preserve"> (D8 : les agents indiquent leur confiance et leurs lacunes ; les humains décident) et l'</w:t>
      </w:r>
      <w:r>
        <w:rPr>
          <w:rFonts w:ascii="Times New Roman" w:hAnsi="Times New Roman" w:eastAsia="Times New Roman"/>
          <w:b/>
          <w:sz w:val="21"/>
        </w:rPr>
        <w:t>inclusion</w:t>
      </w:r>
      <w:r>
        <w:rPr>
          <w:rFonts w:ascii="Times New Roman" w:hAnsi="Times New Roman" w:eastAsia="Times New Roman"/>
          <w:sz w:val="21"/>
        </w:rPr>
        <w:t xml:space="preserve"> (D11 : corpus juridique en français, modèles ouverts gratuits, aucune carte graphique requise).</w:t>
      </w:r>
    </w:p>
    <w:p w14:paraId="75A0750C" w14:textId="02951926" w:rsidR="109E7504" w:rsidRDefault="2D10F3D1" w:rsidP="78773EE0">
      <w:pPr>
        <w:pStyle w:val="ListParagraph"/>
        <w:keepNext/>
        <w:numPr>
          <w:ilvl w:val="0"/>
          <w:numId w:val="4"/>
        </w:numPr>
        <w:spacing w:before="160" w:after="60"/>
        <w:jc w:val="both"/>
        <w:rPr>
          <w:rFonts w:ascii="Times New Roman" w:eastAsia="Times New Roman" w:hAnsi="Times New Roman" w:cs="Times New Roman"/>
          <w:color w:val="000000" w:themeColor="text1"/>
        </w:rPr>
      </w:pPr>
      <w:r>
        <w:rPr>
          <w:rFonts w:ascii="Times New Roman" w:eastAsia="Times New Roman" w:hAnsi="Times New Roman" w:cs="Times New Roman"/>
          <w:b/>
          <w:color w:val="000000" w:themeColor="text1"/>
          <w:sz w:val="24"/>
        </w:rPr>
        <w:t>Scénarios d'erreur</w:t>
      </w:r>
    </w:p>
    <w:p>
      <w:pPr>
        <w:spacing w:after="60" w:before="0" w:line="240" w:lineRule="auto"/>
        <w:jc w:val="both"/>
      </w:pPr>
      <w:r>
        <w:rPr>
          <w:rFonts w:ascii="Times New Roman" w:hAnsi="Times New Roman" w:eastAsia="Times New Roman"/>
          <w:b/>
          <w:sz w:val="21"/>
        </w:rPr>
        <w:t>Simulation de référence (5 étapes, 56 interventions d'agents, 20 demandes transmises).</w:t>
      </w:r>
      <w:r>
        <w:rPr>
          <w:rFonts w:ascii="Times New Roman" w:hAnsi="Times New Roman" w:eastAsia="Times New Roman"/>
          <w:sz w:val="21"/>
        </w:rPr>
        <w:t xml:space="preserve"> 124 affirmations juridiques ont été vérifiées automatiquement : </w:t>
      </w:r>
      <w:r>
        <w:rPr>
          <w:rFonts w:ascii="Times New Roman" w:hAnsi="Times New Roman" w:eastAsia="Times New Roman"/>
          <w:b/>
          <w:sz w:val="21"/>
        </w:rPr>
        <w:t>109 étayées (87,9 %)</w:t>
      </w:r>
      <w:r>
        <w:rPr>
          <w:rFonts w:ascii="Times New Roman" w:hAnsi="Times New Roman" w:eastAsia="Times New Roman"/>
          <w:sz w:val="21"/>
        </w:rPr>
        <w:t>, 12 sans citation (surtout des actions pratiques comme conserver les preuves ; deux agents ont déclaré explicitement qu'aucun extrait ne les autorisait à agir), 2 douteuses et 1 invalide. Le conseiller a jugé 22 actions (10 fondées, 6 à vérifier, 6 non fondées) et relevé 10 lacunes, chacune comparée à au moins une juridiction étrangère. Le journal complet et le rapport sont publiés avec le code.</w:t>
      </w:r>
    </w:p>
    <w:p>
      <w:pPr>
        <w:spacing w:after="60" w:before="0" w:line="240" w:lineRule="auto"/>
        <w:jc w:val="both"/>
      </w:pPr>
      <w:r>
        <w:rPr>
          <w:rFonts w:ascii="Times New Roman" w:hAnsi="Times New Roman" w:eastAsia="Times New Roman"/>
          <w:b/>
          <w:sz w:val="21"/>
        </w:rPr>
        <w:t>Traitement de chaque étape.</w:t>
      </w:r>
    </w:p>
    <w:p>
      <w:pPr>
        <w:spacing w:after="30" w:before="0" w:line="240" w:lineRule="auto"/>
        <w:ind w:left="283" w:hanging="198"/>
        <w:jc w:val="both"/>
      </w:pPr>
      <w:r>
        <w:rPr>
          <w:rFonts w:ascii="Times New Roman" w:hAnsi="Times New Roman" w:eastAsia="Times New Roman"/>
          <w:sz w:val="21"/>
        </w:rPr>
        <w:t xml:space="preserve">• </w:t>
      </w:r>
      <w:r>
        <w:rPr>
          <w:rFonts w:ascii="Times New Roman" w:hAnsi="Times New Roman" w:eastAsia="Times New Roman"/>
          <w:b/>
          <w:sz w:val="21"/>
        </w:rPr>
        <w:t>Étape 1, signal précoce.</w:t>
      </w:r>
      <w:r>
        <w:rPr>
          <w:rFonts w:ascii="Times New Roman" w:hAnsi="Times New Roman" w:eastAsia="Times New Roman"/>
          <w:sz w:val="21"/>
        </w:rPr>
        <w:t xml:space="preserve"> MinorShield a transmis des tendances agrégées à l'ANTIC. Le conseiller n'a trouvé aucune procédure légale ni seuil d'alerte permettant à un outil privé de protection de l'enfance de partager des données avec les autorités.</w:t>
      </w:r>
    </w:p>
    <w:p>
      <w:pPr>
        <w:spacing w:after="30" w:before="0" w:line="240" w:lineRule="auto"/>
        <w:ind w:left="283" w:hanging="198"/>
        <w:jc w:val="both"/>
      </w:pPr>
      <w:r>
        <w:rPr>
          <w:rFonts w:ascii="Times New Roman" w:hAnsi="Times New Roman" w:eastAsia="Times New Roman"/>
          <w:sz w:val="21"/>
        </w:rPr>
        <w:t xml:space="preserve">• </w:t>
      </w:r>
      <w:r>
        <w:rPr>
          <w:rFonts w:ascii="Times New Roman" w:hAnsi="Times New Roman" w:eastAsia="Times New Roman"/>
          <w:b/>
          <w:sz w:val="21"/>
        </w:rPr>
        <w:t>Étape 2, victimes et exclusion scolaire.</w:t>
      </w:r>
      <w:r>
        <w:rPr>
          <w:rFonts w:ascii="Times New Roman" w:hAnsi="Times New Roman" w:eastAsia="Times New Roman"/>
          <w:sz w:val="21"/>
        </w:rPr>
        <w:t xml:space="preserve"> Le MINAS et le MINPROFF ont demandé à l'école de ne pas exclure la victime de 15 ans ; la police a qualifié l'infraction au regard de la loi sur la cybersécurité. </w:t>
      </w:r>
      <w:r>
        <w:rPr>
          <w:rFonts w:ascii="Times New Roman" w:hAnsi="Times New Roman" w:eastAsia="Times New Roman"/>
          <w:b/>
          <w:sz w:val="21"/>
        </w:rPr>
        <w:t>Manqué :</w:t>
      </w:r>
      <w:r>
        <w:rPr>
          <w:rFonts w:ascii="Times New Roman" w:hAnsi="Times New Roman" w:eastAsia="Times New Roman"/>
          <w:sz w:val="21"/>
        </w:rPr>
        <w:t xml:space="preserve"> tous les agents ont considéré la victime de 19 ans comme mineure, alors que la loi 2023/009 (art. 3) définit l'enfant comme une personne de moins de 18 ans ; elle échappe à la Charte tout en restant mineure au sens civil (majorité à 21 ans).</w:t>
      </w:r>
    </w:p>
    <w:p>
      <w:pPr>
        <w:spacing w:after="30" w:before="0" w:line="240" w:lineRule="auto"/>
        <w:ind w:left="283" w:hanging="198"/>
        <w:jc w:val="both"/>
      </w:pPr>
      <w:r>
        <w:rPr>
          <w:rFonts w:ascii="Times New Roman" w:hAnsi="Times New Roman" w:eastAsia="Times New Roman"/>
          <w:sz w:val="21"/>
        </w:rPr>
        <w:t xml:space="preserve">• </w:t>
      </w:r>
      <w:r>
        <w:rPr>
          <w:rFonts w:ascii="Times New Roman" w:hAnsi="Times New Roman" w:eastAsia="Times New Roman"/>
          <w:b/>
          <w:sz w:val="21"/>
        </w:rPr>
        <w:t>Étape 3, plateforme étrangère.</w:t>
      </w:r>
      <w:r>
        <w:rPr>
          <w:rFonts w:ascii="Times New Roman" w:hAnsi="Times New Roman" w:eastAsia="Times New Roman"/>
          <w:sz w:val="21"/>
        </w:rPr>
        <w:t xml:space="preserve"> Les agents se sont appuyés sur l'art. 14 (suspension d'un utilisateur à la demande des autorités) et l'ANTIC a prévu une mise en demeure au titre des art. 27 et 28. Le conseiller a relevé l'absence de délais de retrait pour les plateformes étrangères, mais </w:t>
      </w:r>
      <w:r>
        <w:rPr>
          <w:rFonts w:ascii="Times New Roman" w:hAnsi="Times New Roman" w:eastAsia="Times New Roman"/>
          <w:b/>
          <w:sz w:val="21"/>
        </w:rPr>
        <w:t>aucun agent n'a remarqué</w:t>
      </w:r>
      <w:r>
        <w:rPr>
          <w:rFonts w:ascii="Times New Roman" w:hAnsi="Times New Roman" w:eastAsia="Times New Roman"/>
          <w:sz w:val="21"/>
        </w:rPr>
        <w:t xml:space="preserve"> que le délai de mise en demeure de l'art. 28, 15 jours, est bien trop long pour un contenu viral.</w:t>
      </w:r>
    </w:p>
    <w:p>
      <w:pPr>
        <w:spacing w:after="30" w:before="0" w:line="240" w:lineRule="auto"/>
        <w:ind w:left="283" w:hanging="198"/>
        <w:jc w:val="both"/>
      </w:pPr>
      <w:r>
        <w:rPr>
          <w:rFonts w:ascii="Times New Roman" w:hAnsi="Times New Roman" w:eastAsia="Times New Roman"/>
          <w:sz w:val="21"/>
        </w:rPr>
        <w:t xml:space="preserve">• </w:t>
      </w:r>
      <w:r>
        <w:rPr>
          <w:rFonts w:ascii="Times New Roman" w:hAnsi="Times New Roman" w:eastAsia="Times New Roman"/>
          <w:b/>
          <w:sz w:val="21"/>
        </w:rPr>
        <w:t>Étape 4, fuite de données.</w:t>
      </w:r>
      <w:r>
        <w:rPr>
          <w:rFonts w:ascii="Times New Roman" w:hAnsi="Times New Roman" w:eastAsia="Times New Roman"/>
          <w:sz w:val="21"/>
        </w:rPr>
        <w:t xml:space="preserve"> Les agents ont conclu qu'aucune procédure de notification des violations n'existe. En réalité, la loi sur la protection des données (n° 2024/017) existe, mais son texte intégral n'est pas disponible en ligne et ne figure donc pas dans la base : </w:t>
      </w:r>
      <w:r>
        <w:rPr>
          <w:rFonts w:ascii="Times New Roman" w:hAnsi="Times New Roman" w:eastAsia="Times New Roman"/>
          <w:b/>
          <w:sz w:val="21"/>
        </w:rPr>
        <w:t>une lacune de la base a été lue comme une lacune de la loi</w:t>
      </w:r>
      <w:r>
        <w:rPr>
          <w:rFonts w:ascii="Times New Roman" w:hAnsi="Times New Roman" w:eastAsia="Times New Roman"/>
          <w:sz w:val="21"/>
        </w:rPr>
        <w:t>.</w:t>
      </w:r>
    </w:p>
    <w:p>
      <w:pPr>
        <w:spacing w:after="30" w:before="0" w:line="240" w:lineRule="auto"/>
        <w:ind w:left="283" w:hanging="198"/>
        <w:jc w:val="both"/>
      </w:pPr>
      <w:r>
        <w:rPr>
          <w:rFonts w:ascii="Times New Roman" w:hAnsi="Times New Roman" w:eastAsia="Times New Roman"/>
          <w:sz w:val="21"/>
        </w:rPr>
        <w:t xml:space="preserve">• </w:t>
      </w:r>
      <w:r>
        <w:rPr>
          <w:rFonts w:ascii="Times New Roman" w:hAnsi="Times New Roman" w:eastAsia="Times New Roman"/>
          <w:b/>
          <w:sz w:val="21"/>
        </w:rPr>
        <w:t>Étape 5, controverse : bloquer la plateforme dans tout le pays.</w:t>
      </w:r>
      <w:r>
        <w:rPr>
          <w:rFonts w:ascii="Times New Roman" w:hAnsi="Times New Roman" w:eastAsia="Times New Roman"/>
          <w:sz w:val="21"/>
        </w:rPr>
        <w:t xml:space="preserve"> Le conseiller n'a trouvé aucune base légale pour bloquer une plateforme entière et a recommandé de créer ce pouvoir. Seul l'agent de la plateforme a soulevé la proportionnalité. Notre réponse à la controverse : le système ne décide jamais ; il prépare une délibération humaine, qui doit peser la liberté d'expression et l'impact économique, et privilégier des mesures ciblées (suspension d'utilisateur de l'art. 14, retrait de contenus précis) sous contrôle judiciaire avant tout blocage général.</w:t>
      </w:r>
    </w:p>
    <w:p>
      <w:pPr>
        <w:spacing w:after="60" w:before="0" w:line="240" w:lineRule="auto"/>
        <w:jc w:val="both"/>
      </w:pPr>
      <w:r>
        <w:rPr>
          <w:rFonts w:ascii="Times New Roman" w:hAnsi="Times New Roman" w:eastAsia="Times New Roman"/>
          <w:b/>
          <w:sz w:val="21"/>
        </w:rPr>
        <w:t>Erreurs de l'IA détectées, et non détectées.</w:t>
      </w:r>
      <w:r>
        <w:rPr>
          <w:rFonts w:ascii="Times New Roman" w:hAnsi="Times New Roman" w:eastAsia="Times New Roman"/>
          <w:sz w:val="21"/>
        </w:rPr>
        <w:t xml:space="preserve"> Le vérificateur a signalé un identifiant d'extrait inventé et une loi d'un État américain (CCPA) citée alors qu'elle n'est pas dans la base. Il ne peut pas détecter une citation correcte utilisée pour soutenir une affirmation fausse : le conseiller a attribué à la COPPA des obligations de « transparence financière » et a exagéré les pouvoirs de blocage australiens. Sur les 10 lacunes inscrites à l'avance dans le scénario, la simulation en a trouvé 5 entièrement, 3 partiellement, et en a manqué 2. Ces mesures rendent les limites visibles ; c'est pourquoi une relecture juridique humaine reste obligatoire.</w:t>
      </w:r>
    </w:p>
    <w:p w14:paraId="0E1E4AA8" w14:textId="0E0EF499" w:rsidR="3B355EBA" w:rsidRDefault="1A8D7764" w:rsidP="78773EE0">
      <w:pPr>
        <w:pStyle w:val="ListParagraph"/>
        <w:keepNext/>
        <w:numPr>
          <w:ilvl w:val="0"/>
          <w:numId w:val="4"/>
        </w:numPr>
        <w:spacing w:before="160" w:after="60"/>
        <w:jc w:val="both"/>
        <w:rPr>
          <w:rFonts w:ascii="Times New Roman" w:eastAsia="Times New Roman" w:hAnsi="Times New Roman" w:cs="Times New Roman"/>
          <w:color w:val="000000" w:themeColor="text1"/>
        </w:rPr>
      </w:pPr>
      <w:r>
        <w:rPr>
          <w:rFonts w:ascii="Times New Roman" w:eastAsia="Times New Roman" w:hAnsi="Times New Roman" w:cs="Times New Roman"/>
          <w:b/>
          <w:color w:val="000000" w:themeColor="text1"/>
          <w:sz w:val="24"/>
        </w:rPr>
        <w:t>Lacunes politiques et normatives issues de l'exercice de correspondance</w:t>
      </w:r>
    </w:p>
    <w:p>
      <w:pPr>
        <w:spacing w:after="60" w:before="0" w:line="240" w:lineRule="auto"/>
        <w:jc w:val="both"/>
      </w:pPr>
      <w:r>
        <w:rPr>
          <w:rFonts w:ascii="Times New Roman" w:hAnsi="Times New Roman" w:eastAsia="Times New Roman"/>
          <w:b/>
          <w:sz w:val="21"/>
        </w:rPr>
        <w:t>Lacunes politiques (Cameroun) comparées aux pratiques mondiales :</w:t>
      </w:r>
    </w:p>
    <w:p>
      <w:pPr>
        <w:spacing w:after="30" w:before="0" w:line="240" w:lineRule="auto"/>
        <w:ind w:left="283" w:hanging="198"/>
        <w:jc w:val="both"/>
      </w:pPr>
      <w:r>
        <w:rPr>
          <w:rFonts w:ascii="Times New Roman" w:hAnsi="Times New Roman" w:eastAsia="Times New Roman"/>
          <w:sz w:val="21"/>
        </w:rPr>
        <w:t xml:space="preserve">• </w:t>
      </w:r>
      <w:r>
        <w:rPr>
          <w:rFonts w:ascii="Times New Roman" w:hAnsi="Times New Roman" w:eastAsia="Times New Roman"/>
          <w:b/>
          <w:sz w:val="21"/>
        </w:rPr>
        <w:t>Signalement par les acteurs privés :</w:t>
      </w:r>
      <w:r>
        <w:rPr>
          <w:rFonts w:ascii="Times New Roman" w:hAnsi="Times New Roman" w:eastAsia="Times New Roman"/>
          <w:sz w:val="21"/>
        </w:rPr>
        <w:t xml:space="preserve"> la loi 2023/009 oblige les fournisseurs d'accès à signaler aux autorités les contenus portant atteinte aux enfants (art. 33, amende de 25 à 250 millions de FCFA), mais ne prévoit ni canal ni seuil d'alerte pour un outil tiers de protection de l'enfance ou pour des signaux agrégés et anonymisés. L'Online Safety Act 2023 britannique oblige les fournisseurs à signaler les contenus d'exploitation et d'abus sexuels d'enfants à la National Crime Agency.</w:t>
      </w:r>
    </w:p>
    <w:p>
      <w:pPr>
        <w:spacing w:after="30" w:before="0" w:line="240" w:lineRule="auto"/>
        <w:ind w:left="283" w:hanging="198"/>
        <w:jc w:val="both"/>
      </w:pPr>
      <w:r>
        <w:rPr>
          <w:rFonts w:ascii="Times New Roman" w:hAnsi="Times New Roman" w:eastAsia="Times New Roman"/>
          <w:sz w:val="21"/>
        </w:rPr>
        <w:t xml:space="preserve">• </w:t>
      </w:r>
      <w:r>
        <w:rPr>
          <w:rFonts w:ascii="Times New Roman" w:hAnsi="Times New Roman" w:eastAsia="Times New Roman"/>
          <w:b/>
          <w:sz w:val="21"/>
        </w:rPr>
        <w:t>Vitesse de retrait :</w:t>
      </w:r>
      <w:r>
        <w:rPr>
          <w:rFonts w:ascii="Times New Roman" w:hAnsi="Times New Roman" w:eastAsia="Times New Roman"/>
          <w:sz w:val="21"/>
        </w:rPr>
        <w:t xml:space="preserve"> mise en demeure de 15 jours (loi 2023/009, art. 28), contre 24 heures pour les injonctions de retrait de l'Online Safety Act 2021 australien.</w:t>
      </w:r>
    </w:p>
    <w:p>
      <w:pPr>
        <w:spacing w:after="30" w:before="0" w:line="240" w:lineRule="auto"/>
        <w:ind w:left="283" w:hanging="198"/>
        <w:jc w:val="both"/>
      </w:pPr>
      <w:r>
        <w:rPr>
          <w:rFonts w:ascii="Times New Roman" w:hAnsi="Times New Roman" w:eastAsia="Times New Roman"/>
          <w:sz w:val="21"/>
        </w:rPr>
        <w:t xml:space="preserve">• </w:t>
      </w:r>
      <w:r>
        <w:rPr>
          <w:rFonts w:ascii="Times New Roman" w:hAnsi="Times New Roman" w:eastAsia="Times New Roman"/>
          <w:b/>
          <w:sz w:val="21"/>
        </w:rPr>
        <w:t>Plateformes étrangères :</w:t>
      </w:r>
      <w:r>
        <w:rPr>
          <w:rFonts w:ascii="Times New Roman" w:hAnsi="Times New Roman" w:eastAsia="Times New Roman"/>
          <w:sz w:val="21"/>
        </w:rPr>
        <w:t xml:space="preserve"> portée extraterritoriale limitée. Le Digital Services Act européen s'applique aux services proposés aux utilisateurs de l'UE, où que le fournisseur soit établi, et impose un représentant légal dans l'UE.</w:t>
      </w:r>
    </w:p>
    <w:p>
      <w:pPr>
        <w:spacing w:after="30" w:before="0" w:line="240" w:lineRule="auto"/>
        <w:ind w:left="283" w:hanging="198"/>
        <w:jc w:val="both"/>
      </w:pPr>
      <w:r>
        <w:rPr>
          <w:rFonts w:ascii="Times New Roman" w:hAnsi="Times New Roman" w:eastAsia="Times New Roman"/>
          <w:sz w:val="21"/>
        </w:rPr>
        <w:t xml:space="preserve">• </w:t>
      </w:r>
      <w:r>
        <w:rPr>
          <w:rFonts w:ascii="Times New Roman" w:hAnsi="Times New Roman" w:eastAsia="Times New Roman"/>
          <w:b/>
          <w:sz w:val="21"/>
        </w:rPr>
        <w:t>Violations de données d'enfants :</w:t>
      </w:r>
      <w:r>
        <w:rPr>
          <w:rFonts w:ascii="Times New Roman" w:hAnsi="Times New Roman" w:eastAsia="Times New Roman"/>
          <w:sz w:val="21"/>
        </w:rPr>
        <w:t xml:space="preserve"> aucune procédure de notification accessible, contre 72 heures selon l'art. 33 du RGPD ; l'autorité de protection des données n'existe que depuis juin 2026.</w:t>
      </w:r>
    </w:p>
    <w:p>
      <w:pPr>
        <w:spacing w:after="30" w:before="0" w:line="240" w:lineRule="auto"/>
        <w:ind w:left="283" w:hanging="198"/>
        <w:jc w:val="both"/>
      </w:pPr>
      <w:r>
        <w:rPr>
          <w:rFonts w:ascii="Times New Roman" w:hAnsi="Times New Roman" w:eastAsia="Times New Roman"/>
          <w:sz w:val="21"/>
        </w:rPr>
        <w:t xml:space="preserve">• </w:t>
      </w:r>
      <w:r>
        <w:rPr>
          <w:rFonts w:ascii="Times New Roman" w:hAnsi="Times New Roman" w:eastAsia="Times New Roman"/>
          <w:b/>
          <w:sz w:val="21"/>
        </w:rPr>
        <w:t>Seuil d'âge :</w:t>
      </w:r>
      <w:r>
        <w:rPr>
          <w:rFonts w:ascii="Times New Roman" w:hAnsi="Times New Roman" w:eastAsia="Times New Roman"/>
          <w:sz w:val="21"/>
        </w:rPr>
        <w:t xml:space="preserve"> les victimes de 18 à 20 ans sont hors de la Charte alors qu'elles sont mineures au sens civil.</w:t>
      </w:r>
    </w:p>
    <w:p>
      <w:pPr>
        <w:spacing w:after="30" w:before="0" w:line="240" w:lineRule="auto"/>
        <w:ind w:left="283" w:hanging="198"/>
        <w:jc w:val="both"/>
      </w:pPr>
      <w:r>
        <w:rPr>
          <w:rFonts w:ascii="Times New Roman" w:hAnsi="Times New Roman" w:eastAsia="Times New Roman"/>
          <w:sz w:val="21"/>
        </w:rPr>
        <w:t xml:space="preserve">• </w:t>
      </w:r>
      <w:r>
        <w:rPr>
          <w:rFonts w:ascii="Times New Roman" w:hAnsi="Times New Roman" w:eastAsia="Times New Roman"/>
          <w:b/>
          <w:sz w:val="21"/>
        </w:rPr>
        <w:t>Mandats et coordination :</w:t>
      </w:r>
      <w:r>
        <w:rPr>
          <w:rFonts w:ascii="Times New Roman" w:hAnsi="Times New Roman" w:eastAsia="Times New Roman"/>
          <w:sz w:val="21"/>
        </w:rPr>
        <w:t xml:space="preserve"> missions du MINAS et du MINPROFF qui se chevauchent, aucune directive scolaire pour les victimes, aucun organe formel de coordination de crise entre institutions ; c'est pourquoi l'animateur a dû être neutre.</w:t>
      </w:r>
    </w:p>
    <w:p>
      <w:pPr>
        <w:spacing w:after="30" w:before="0" w:line="240" w:lineRule="auto"/>
        <w:ind w:left="283" w:hanging="198"/>
        <w:jc w:val="both"/>
      </w:pPr>
      <w:r>
        <w:rPr>
          <w:rFonts w:ascii="Times New Roman" w:hAnsi="Times New Roman" w:eastAsia="Times New Roman"/>
          <w:sz w:val="21"/>
        </w:rPr>
        <w:t xml:space="preserve">• </w:t>
      </w:r>
      <w:r>
        <w:rPr>
          <w:rFonts w:ascii="Times New Roman" w:hAnsi="Times New Roman" w:eastAsia="Times New Roman"/>
          <w:b/>
          <w:sz w:val="21"/>
        </w:rPr>
        <w:t>Blocage de plateformes :</w:t>
      </w:r>
      <w:r>
        <w:rPr>
          <w:rFonts w:ascii="Times New Roman" w:hAnsi="Times New Roman" w:eastAsia="Times New Roman"/>
          <w:sz w:val="21"/>
        </w:rPr>
        <w:t xml:space="preserve"> aucun cadre légal, donc aucune garantie de proportionnalité, pour des mesures allant au-delà de la suspension ciblée.</w:t>
      </w:r>
    </w:p>
    <w:p>
      <w:pPr>
        <w:spacing w:after="60" w:before="0" w:line="240" w:lineRule="auto"/>
        <w:jc w:val="both"/>
      </w:pPr>
      <w:r>
        <w:rPr>
          <w:rFonts w:ascii="Times New Roman" w:hAnsi="Times New Roman" w:eastAsia="Times New Roman"/>
          <w:b/>
          <w:sz w:val="21"/>
        </w:rPr>
        <w:t>Lacunes normatives :</w:t>
      </w:r>
    </w:p>
    <w:p>
      <w:pPr>
        <w:spacing w:after="30" w:before="0" w:line="240" w:lineRule="auto"/>
        <w:ind w:left="283" w:hanging="198"/>
        <w:jc w:val="both"/>
      </w:pPr>
      <w:r>
        <w:rPr>
          <w:rFonts w:ascii="Times New Roman" w:hAnsi="Times New Roman" w:eastAsia="Times New Roman"/>
          <w:sz w:val="21"/>
        </w:rPr>
        <w:t xml:space="preserve">• </w:t>
      </w:r>
      <w:r>
        <w:rPr>
          <w:rFonts w:ascii="Times New Roman" w:hAnsi="Times New Roman" w:eastAsia="Times New Roman"/>
          <w:b/>
          <w:sz w:val="21"/>
        </w:rPr>
        <w:t>Droit lisible par machine.</w:t>
      </w:r>
      <w:r>
        <w:rPr>
          <w:rFonts w:ascii="Times New Roman" w:hAnsi="Times New Roman" w:eastAsia="Times New Roman"/>
          <w:sz w:val="21"/>
        </w:rPr>
        <w:t xml:space="preserve"> Les textes camerounais n'existent qu'en recueils PDF, sans format ouvert consolidé article par article (comme Akoma Ntoso) ; toute base juridique doit être reconstruite à la main.</w:t>
      </w:r>
    </w:p>
    <w:p>
      <w:pPr>
        <w:spacing w:after="30" w:before="0" w:line="240" w:lineRule="auto"/>
        <w:ind w:left="283" w:hanging="198"/>
        <w:jc w:val="both"/>
      </w:pPr>
      <w:r>
        <w:rPr>
          <w:rFonts w:ascii="Times New Roman" w:hAnsi="Times New Roman" w:eastAsia="Times New Roman"/>
          <w:sz w:val="21"/>
        </w:rPr>
        <w:t xml:space="preserve">• </w:t>
      </w:r>
      <w:r>
        <w:rPr>
          <w:rFonts w:ascii="Times New Roman" w:hAnsi="Times New Roman" w:eastAsia="Times New Roman"/>
          <w:b/>
          <w:sz w:val="21"/>
        </w:rPr>
        <w:t>Audit du raisonnement juridique de l'IA.</w:t>
      </w:r>
      <w:r>
        <w:rPr>
          <w:rFonts w:ascii="Times New Roman" w:hAnsi="Times New Roman" w:eastAsia="Times New Roman"/>
          <w:sz w:val="21"/>
        </w:rPr>
        <w:t xml:space="preserve"> Y.3172 ne prévoit aucun nœud pour vérifier qu'un résultat est fondé sur ses sources. Nous proposons une étape de vérification entre la fonction ML et la sortie, avec les quatre statuts de citation ci-dessus et deux indicateurs : le taux de citations étayées et le taux de lacunes attendues retrouvées.</w:t>
      </w:r>
    </w:p>
    <w:p>
      <w:pPr>
        <w:spacing w:after="30" w:before="0" w:line="240" w:lineRule="auto"/>
        <w:ind w:left="283" w:hanging="198"/>
        <w:jc w:val="both"/>
      </w:pPr>
      <w:r>
        <w:rPr>
          <w:rFonts w:ascii="Times New Roman" w:hAnsi="Times New Roman" w:eastAsia="Times New Roman"/>
          <w:sz w:val="21"/>
        </w:rPr>
        <w:t xml:space="preserve">• </w:t>
      </w:r>
      <w:r>
        <w:rPr>
          <w:rFonts w:ascii="Times New Roman" w:hAnsi="Times New Roman" w:eastAsia="Times New Roman"/>
          <w:b/>
          <w:sz w:val="21"/>
        </w:rPr>
        <w:t>Fidélité du contenu.</w:t>
      </w:r>
      <w:r>
        <w:rPr>
          <w:rFonts w:ascii="Times New Roman" w:hAnsi="Times New Roman" w:eastAsia="Times New Roman"/>
          <w:sz w:val="21"/>
        </w:rPr>
        <w:t xml:space="preserve"> Aucun contrôle automatique ne vérifie encore qu'un article cité dit bien ce que l'agent affirme ; un protocole normalisé de relecture humaine pour les bacs à sable de politiques est nécessaire.</w:t>
      </w:r>
    </w:p>
    <w:p>
      <w:pPr>
        <w:spacing w:after="30" w:before="0" w:line="240" w:lineRule="auto"/>
        <w:ind w:left="283" w:hanging="198"/>
        <w:jc w:val="both"/>
      </w:pPr>
      <w:r>
        <w:rPr>
          <w:rFonts w:ascii="Times New Roman" w:hAnsi="Times New Roman" w:eastAsia="Times New Roman"/>
          <w:sz w:val="21"/>
        </w:rPr>
        <w:t xml:space="preserve">• </w:t>
      </w:r>
      <w:r>
        <w:rPr>
          <w:rFonts w:ascii="Times New Roman" w:hAnsi="Times New Roman" w:eastAsia="Times New Roman"/>
          <w:b/>
          <w:sz w:val="21"/>
        </w:rPr>
        <w:t>Qualité du corpus de référence.</w:t>
      </w:r>
      <w:r>
        <w:rPr>
          <w:rFonts w:ascii="Times New Roman" w:hAnsi="Times New Roman" w:eastAsia="Times New Roman"/>
          <w:sz w:val="21"/>
        </w:rPr>
        <w:t xml:space="preserve"> Deux PDF du dépôt de référence de l'UIT sont tronqués (stratégie du Kenya, cadre de la Chine) et 20 documents sur 67 étaient attribués au mauvais pays ; les deux problèmes ont été corrigés et documentés dans notre dépôt.</w:t>
      </w:r>
    </w:p>
    <w:sectPr w:rsidR="3B355EBA">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AB37FB"/>
    <w:multiLevelType w:val="hybridMultilevel"/>
    <w:tmpl w:val="13DE99AC"/>
    <w:lvl w:ilvl="0" w:tplc="0A5EF5A2">
      <w:start w:val="1"/>
      <w:numFmt w:val="decimal"/>
      <w:lvlText w:val="%1."/>
      <w:lvlJc w:val="left"/>
      <w:pPr>
        <w:ind w:left="720" w:hanging="360"/>
      </w:pPr>
    </w:lvl>
    <w:lvl w:ilvl="1" w:tplc="F58EF05A">
      <w:start w:val="1"/>
      <w:numFmt w:val="lowerLetter"/>
      <w:lvlText w:val="%2."/>
      <w:lvlJc w:val="left"/>
      <w:pPr>
        <w:ind w:left="1440" w:hanging="360"/>
      </w:pPr>
    </w:lvl>
    <w:lvl w:ilvl="2" w:tplc="593CBE0E">
      <w:start w:val="1"/>
      <w:numFmt w:val="lowerRoman"/>
      <w:lvlText w:val="%3."/>
      <w:lvlJc w:val="right"/>
      <w:pPr>
        <w:ind w:left="2160" w:hanging="180"/>
      </w:pPr>
    </w:lvl>
    <w:lvl w:ilvl="3" w:tplc="A7E80B68">
      <w:start w:val="1"/>
      <w:numFmt w:val="decimal"/>
      <w:lvlText w:val="%4."/>
      <w:lvlJc w:val="left"/>
      <w:pPr>
        <w:ind w:left="2880" w:hanging="360"/>
      </w:pPr>
    </w:lvl>
    <w:lvl w:ilvl="4" w:tplc="E6108828">
      <w:start w:val="1"/>
      <w:numFmt w:val="lowerLetter"/>
      <w:lvlText w:val="%5."/>
      <w:lvlJc w:val="left"/>
      <w:pPr>
        <w:ind w:left="3600" w:hanging="360"/>
      </w:pPr>
    </w:lvl>
    <w:lvl w:ilvl="5" w:tplc="0682F654">
      <w:start w:val="1"/>
      <w:numFmt w:val="lowerRoman"/>
      <w:lvlText w:val="%6."/>
      <w:lvlJc w:val="right"/>
      <w:pPr>
        <w:ind w:left="4320" w:hanging="180"/>
      </w:pPr>
    </w:lvl>
    <w:lvl w:ilvl="6" w:tplc="A9B8918C">
      <w:start w:val="1"/>
      <w:numFmt w:val="decimal"/>
      <w:lvlText w:val="%7."/>
      <w:lvlJc w:val="left"/>
      <w:pPr>
        <w:ind w:left="5040" w:hanging="360"/>
      </w:pPr>
    </w:lvl>
    <w:lvl w:ilvl="7" w:tplc="3D6A8E6A">
      <w:start w:val="1"/>
      <w:numFmt w:val="lowerLetter"/>
      <w:lvlText w:val="%8."/>
      <w:lvlJc w:val="left"/>
      <w:pPr>
        <w:ind w:left="5760" w:hanging="360"/>
      </w:pPr>
    </w:lvl>
    <w:lvl w:ilvl="8" w:tplc="25768A12">
      <w:start w:val="1"/>
      <w:numFmt w:val="lowerRoman"/>
      <w:lvlText w:val="%9."/>
      <w:lvlJc w:val="right"/>
      <w:pPr>
        <w:ind w:left="6480" w:hanging="180"/>
      </w:pPr>
    </w:lvl>
  </w:abstractNum>
  <w:abstractNum w:abstractNumId="1" w15:restartNumberingAfterBreak="0">
    <w:nsid w:val="10E59C79"/>
    <w:multiLevelType w:val="hybridMultilevel"/>
    <w:tmpl w:val="55783A1A"/>
    <w:lvl w:ilvl="0" w:tplc="7C8ECFE2">
      <w:start w:val="1"/>
      <w:numFmt w:val="decimal"/>
      <w:lvlText w:val="%1."/>
      <w:lvlJc w:val="left"/>
      <w:pPr>
        <w:ind w:left="720" w:hanging="360"/>
      </w:pPr>
      <w:rPr>
        <w:rFonts w:ascii="Times New Roman" w:hAnsi="Times New Roman" w:hint="default"/>
      </w:rPr>
    </w:lvl>
    <w:lvl w:ilvl="1" w:tplc="C72A3904">
      <w:start w:val="1"/>
      <w:numFmt w:val="lowerLetter"/>
      <w:lvlText w:val="%2."/>
      <w:lvlJc w:val="left"/>
      <w:pPr>
        <w:ind w:left="1440" w:hanging="360"/>
      </w:pPr>
    </w:lvl>
    <w:lvl w:ilvl="2" w:tplc="A852E14A">
      <w:start w:val="1"/>
      <w:numFmt w:val="lowerRoman"/>
      <w:lvlText w:val="%3."/>
      <w:lvlJc w:val="right"/>
      <w:pPr>
        <w:ind w:left="2160" w:hanging="180"/>
      </w:pPr>
    </w:lvl>
    <w:lvl w:ilvl="3" w:tplc="5FEA32DA">
      <w:start w:val="1"/>
      <w:numFmt w:val="decimal"/>
      <w:lvlText w:val="%4."/>
      <w:lvlJc w:val="left"/>
      <w:pPr>
        <w:ind w:left="2880" w:hanging="360"/>
      </w:pPr>
    </w:lvl>
    <w:lvl w:ilvl="4" w:tplc="510A52A8">
      <w:start w:val="1"/>
      <w:numFmt w:val="lowerLetter"/>
      <w:lvlText w:val="%5."/>
      <w:lvlJc w:val="left"/>
      <w:pPr>
        <w:ind w:left="3600" w:hanging="360"/>
      </w:pPr>
    </w:lvl>
    <w:lvl w:ilvl="5" w:tplc="89284938">
      <w:start w:val="1"/>
      <w:numFmt w:val="lowerRoman"/>
      <w:lvlText w:val="%6."/>
      <w:lvlJc w:val="right"/>
      <w:pPr>
        <w:ind w:left="4320" w:hanging="180"/>
      </w:pPr>
    </w:lvl>
    <w:lvl w:ilvl="6" w:tplc="550AF23E">
      <w:start w:val="1"/>
      <w:numFmt w:val="decimal"/>
      <w:lvlText w:val="%7."/>
      <w:lvlJc w:val="left"/>
      <w:pPr>
        <w:ind w:left="5040" w:hanging="360"/>
      </w:pPr>
    </w:lvl>
    <w:lvl w:ilvl="7" w:tplc="D24C2C66">
      <w:start w:val="1"/>
      <w:numFmt w:val="lowerLetter"/>
      <w:lvlText w:val="%8."/>
      <w:lvlJc w:val="left"/>
      <w:pPr>
        <w:ind w:left="5760" w:hanging="360"/>
      </w:pPr>
    </w:lvl>
    <w:lvl w:ilvl="8" w:tplc="BFCC973E">
      <w:start w:val="1"/>
      <w:numFmt w:val="lowerRoman"/>
      <w:lvlText w:val="%9."/>
      <w:lvlJc w:val="right"/>
      <w:pPr>
        <w:ind w:left="6480" w:hanging="180"/>
      </w:pPr>
    </w:lvl>
  </w:abstractNum>
  <w:abstractNum w:abstractNumId="2" w15:restartNumberingAfterBreak="0">
    <w:nsid w:val="2EA30953"/>
    <w:multiLevelType w:val="hybridMultilevel"/>
    <w:tmpl w:val="90FC84A0"/>
    <w:lvl w:ilvl="0" w:tplc="8FC28104">
      <w:start w:val="1"/>
      <w:numFmt w:val="bullet"/>
      <w:lvlText w:val="-"/>
      <w:lvlJc w:val="left"/>
      <w:pPr>
        <w:ind w:left="1080" w:hanging="360"/>
      </w:pPr>
      <w:rPr>
        <w:rFonts w:ascii="Aptos" w:hAnsi="Aptos" w:hint="default"/>
      </w:rPr>
    </w:lvl>
    <w:lvl w:ilvl="1" w:tplc="124C57B4">
      <w:start w:val="1"/>
      <w:numFmt w:val="bullet"/>
      <w:lvlText w:val="o"/>
      <w:lvlJc w:val="left"/>
      <w:pPr>
        <w:ind w:left="1440" w:hanging="360"/>
      </w:pPr>
      <w:rPr>
        <w:rFonts w:ascii="Courier New" w:hAnsi="Courier New" w:hint="default"/>
      </w:rPr>
    </w:lvl>
    <w:lvl w:ilvl="2" w:tplc="EB92CC0C">
      <w:start w:val="1"/>
      <w:numFmt w:val="bullet"/>
      <w:lvlText w:val=""/>
      <w:lvlJc w:val="left"/>
      <w:pPr>
        <w:ind w:left="2160" w:hanging="360"/>
      </w:pPr>
      <w:rPr>
        <w:rFonts w:ascii="Wingdings" w:hAnsi="Wingdings" w:hint="default"/>
      </w:rPr>
    </w:lvl>
    <w:lvl w:ilvl="3" w:tplc="79D68A90">
      <w:start w:val="1"/>
      <w:numFmt w:val="bullet"/>
      <w:lvlText w:val=""/>
      <w:lvlJc w:val="left"/>
      <w:pPr>
        <w:ind w:left="2880" w:hanging="360"/>
      </w:pPr>
      <w:rPr>
        <w:rFonts w:ascii="Symbol" w:hAnsi="Symbol" w:hint="default"/>
      </w:rPr>
    </w:lvl>
    <w:lvl w:ilvl="4" w:tplc="1C3A5CE2">
      <w:start w:val="1"/>
      <w:numFmt w:val="bullet"/>
      <w:lvlText w:val="o"/>
      <w:lvlJc w:val="left"/>
      <w:pPr>
        <w:ind w:left="3600" w:hanging="360"/>
      </w:pPr>
      <w:rPr>
        <w:rFonts w:ascii="Courier New" w:hAnsi="Courier New" w:hint="default"/>
      </w:rPr>
    </w:lvl>
    <w:lvl w:ilvl="5" w:tplc="AF40B99E">
      <w:start w:val="1"/>
      <w:numFmt w:val="bullet"/>
      <w:lvlText w:val=""/>
      <w:lvlJc w:val="left"/>
      <w:pPr>
        <w:ind w:left="4320" w:hanging="360"/>
      </w:pPr>
      <w:rPr>
        <w:rFonts w:ascii="Wingdings" w:hAnsi="Wingdings" w:hint="default"/>
      </w:rPr>
    </w:lvl>
    <w:lvl w:ilvl="6" w:tplc="7190FEAC">
      <w:start w:val="1"/>
      <w:numFmt w:val="bullet"/>
      <w:lvlText w:val=""/>
      <w:lvlJc w:val="left"/>
      <w:pPr>
        <w:ind w:left="5040" w:hanging="360"/>
      </w:pPr>
      <w:rPr>
        <w:rFonts w:ascii="Symbol" w:hAnsi="Symbol" w:hint="default"/>
      </w:rPr>
    </w:lvl>
    <w:lvl w:ilvl="7" w:tplc="BFDC076A">
      <w:start w:val="1"/>
      <w:numFmt w:val="bullet"/>
      <w:lvlText w:val="o"/>
      <w:lvlJc w:val="left"/>
      <w:pPr>
        <w:ind w:left="5760" w:hanging="360"/>
      </w:pPr>
      <w:rPr>
        <w:rFonts w:ascii="Courier New" w:hAnsi="Courier New" w:hint="default"/>
      </w:rPr>
    </w:lvl>
    <w:lvl w:ilvl="8" w:tplc="D2C8DDEA">
      <w:start w:val="1"/>
      <w:numFmt w:val="bullet"/>
      <w:lvlText w:val=""/>
      <w:lvlJc w:val="left"/>
      <w:pPr>
        <w:ind w:left="6480" w:hanging="360"/>
      </w:pPr>
      <w:rPr>
        <w:rFonts w:ascii="Wingdings" w:hAnsi="Wingdings" w:hint="default"/>
      </w:rPr>
    </w:lvl>
  </w:abstractNum>
  <w:abstractNum w:abstractNumId="3" w15:restartNumberingAfterBreak="0">
    <w:nsid w:val="3376BD69"/>
    <w:multiLevelType w:val="hybridMultilevel"/>
    <w:tmpl w:val="6B3090DE"/>
    <w:lvl w:ilvl="0" w:tplc="FEBAC140">
      <w:start w:val="1"/>
      <w:numFmt w:val="decimal"/>
      <w:lvlText w:val="%1."/>
      <w:lvlJc w:val="left"/>
      <w:pPr>
        <w:ind w:left="720" w:hanging="360"/>
      </w:pPr>
    </w:lvl>
    <w:lvl w:ilvl="1" w:tplc="2FDA13A4">
      <w:start w:val="1"/>
      <w:numFmt w:val="lowerLetter"/>
      <w:lvlText w:val="%2."/>
      <w:lvlJc w:val="left"/>
      <w:pPr>
        <w:ind w:left="1440" w:hanging="360"/>
      </w:pPr>
      <w:rPr>
        <w:rFonts w:ascii="Aptos" w:hAnsi="Aptos" w:hint="default"/>
      </w:rPr>
    </w:lvl>
    <w:lvl w:ilvl="2" w:tplc="E6A2843A">
      <w:start w:val="1"/>
      <w:numFmt w:val="lowerRoman"/>
      <w:lvlText w:val="%3."/>
      <w:lvlJc w:val="right"/>
      <w:pPr>
        <w:ind w:left="2160" w:hanging="180"/>
      </w:pPr>
    </w:lvl>
    <w:lvl w:ilvl="3" w:tplc="343E9360">
      <w:start w:val="1"/>
      <w:numFmt w:val="decimal"/>
      <w:lvlText w:val="%4."/>
      <w:lvlJc w:val="left"/>
      <w:pPr>
        <w:ind w:left="2880" w:hanging="360"/>
      </w:pPr>
    </w:lvl>
    <w:lvl w:ilvl="4" w:tplc="4BD0D482">
      <w:start w:val="1"/>
      <w:numFmt w:val="lowerLetter"/>
      <w:lvlText w:val="%5."/>
      <w:lvlJc w:val="left"/>
      <w:pPr>
        <w:ind w:left="3600" w:hanging="360"/>
      </w:pPr>
    </w:lvl>
    <w:lvl w:ilvl="5" w:tplc="25569E88">
      <w:start w:val="1"/>
      <w:numFmt w:val="lowerRoman"/>
      <w:lvlText w:val="%6."/>
      <w:lvlJc w:val="right"/>
      <w:pPr>
        <w:ind w:left="4320" w:hanging="180"/>
      </w:pPr>
    </w:lvl>
    <w:lvl w:ilvl="6" w:tplc="757A2AEE">
      <w:start w:val="1"/>
      <w:numFmt w:val="decimal"/>
      <w:lvlText w:val="%7."/>
      <w:lvlJc w:val="left"/>
      <w:pPr>
        <w:ind w:left="5040" w:hanging="360"/>
      </w:pPr>
    </w:lvl>
    <w:lvl w:ilvl="7" w:tplc="6F466226">
      <w:start w:val="1"/>
      <w:numFmt w:val="lowerLetter"/>
      <w:lvlText w:val="%8."/>
      <w:lvlJc w:val="left"/>
      <w:pPr>
        <w:ind w:left="5760" w:hanging="360"/>
      </w:pPr>
    </w:lvl>
    <w:lvl w:ilvl="8" w:tplc="A88EDBB4">
      <w:start w:val="1"/>
      <w:numFmt w:val="lowerRoman"/>
      <w:lvlText w:val="%9."/>
      <w:lvlJc w:val="right"/>
      <w:pPr>
        <w:ind w:left="6480" w:hanging="180"/>
      </w:pPr>
    </w:lvl>
  </w:abstractNum>
  <w:abstractNum w:abstractNumId="4" w15:restartNumberingAfterBreak="0">
    <w:nsid w:val="4555E858"/>
    <w:multiLevelType w:val="hybridMultilevel"/>
    <w:tmpl w:val="B04A9EE8"/>
    <w:lvl w:ilvl="0" w:tplc="ADCE3A56">
      <w:start w:val="1"/>
      <w:numFmt w:val="decimal"/>
      <w:lvlText w:val="%1."/>
      <w:lvlJc w:val="left"/>
      <w:pPr>
        <w:ind w:left="720" w:hanging="360"/>
      </w:pPr>
    </w:lvl>
    <w:lvl w:ilvl="1" w:tplc="5DA4B6FA">
      <w:start w:val="1"/>
      <w:numFmt w:val="lowerLetter"/>
      <w:lvlText w:val="%2."/>
      <w:lvlJc w:val="left"/>
      <w:pPr>
        <w:ind w:left="1440" w:hanging="360"/>
      </w:pPr>
    </w:lvl>
    <w:lvl w:ilvl="2" w:tplc="14D69D2A">
      <w:start w:val="1"/>
      <w:numFmt w:val="lowerRoman"/>
      <w:lvlText w:val="%3."/>
      <w:lvlJc w:val="right"/>
      <w:pPr>
        <w:ind w:left="2160" w:hanging="180"/>
      </w:pPr>
    </w:lvl>
    <w:lvl w:ilvl="3" w:tplc="FA16CC5E">
      <w:start w:val="1"/>
      <w:numFmt w:val="decimal"/>
      <w:lvlText w:val="%4."/>
      <w:lvlJc w:val="left"/>
      <w:pPr>
        <w:ind w:left="2880" w:hanging="360"/>
      </w:pPr>
    </w:lvl>
    <w:lvl w:ilvl="4" w:tplc="BA943440">
      <w:start w:val="1"/>
      <w:numFmt w:val="lowerLetter"/>
      <w:lvlText w:val="%5."/>
      <w:lvlJc w:val="left"/>
      <w:pPr>
        <w:ind w:left="3600" w:hanging="360"/>
      </w:pPr>
    </w:lvl>
    <w:lvl w:ilvl="5" w:tplc="F7FC40C0">
      <w:start w:val="1"/>
      <w:numFmt w:val="lowerRoman"/>
      <w:lvlText w:val="%6."/>
      <w:lvlJc w:val="right"/>
      <w:pPr>
        <w:ind w:left="4320" w:hanging="180"/>
      </w:pPr>
    </w:lvl>
    <w:lvl w:ilvl="6" w:tplc="746E0B20">
      <w:start w:val="1"/>
      <w:numFmt w:val="decimal"/>
      <w:lvlText w:val="%7."/>
      <w:lvlJc w:val="left"/>
      <w:pPr>
        <w:ind w:left="5040" w:hanging="360"/>
      </w:pPr>
    </w:lvl>
    <w:lvl w:ilvl="7" w:tplc="14C2A5AA">
      <w:start w:val="1"/>
      <w:numFmt w:val="lowerLetter"/>
      <w:lvlText w:val="%8."/>
      <w:lvlJc w:val="left"/>
      <w:pPr>
        <w:ind w:left="5760" w:hanging="360"/>
      </w:pPr>
    </w:lvl>
    <w:lvl w:ilvl="8" w:tplc="E1CAC6E0">
      <w:start w:val="1"/>
      <w:numFmt w:val="lowerRoman"/>
      <w:lvlText w:val="%9."/>
      <w:lvlJc w:val="right"/>
      <w:pPr>
        <w:ind w:left="6480" w:hanging="180"/>
      </w:pPr>
    </w:lvl>
  </w:abstractNum>
  <w:num w:numId="1" w16cid:durableId="1018198115">
    <w:abstractNumId w:val="3"/>
  </w:num>
  <w:num w:numId="2" w16cid:durableId="1743942476">
    <w:abstractNumId w:val="1"/>
  </w:num>
  <w:num w:numId="3" w16cid:durableId="2016758833">
    <w:abstractNumId w:val="2"/>
  </w:num>
  <w:num w:numId="4" w16cid:durableId="1574730531">
    <w:abstractNumId w:val="4"/>
  </w:num>
  <w:num w:numId="5" w16cid:durableId="178757643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512A3B51"/>
    <w:rsid w:val="00207A65"/>
    <w:rsid w:val="004D6986"/>
    <w:rsid w:val="00CA0BAE"/>
    <w:rsid w:val="00E8537E"/>
    <w:rsid w:val="01EEAFD9"/>
    <w:rsid w:val="028C1093"/>
    <w:rsid w:val="02DA963F"/>
    <w:rsid w:val="0326D80D"/>
    <w:rsid w:val="0431FC92"/>
    <w:rsid w:val="04526567"/>
    <w:rsid w:val="05274986"/>
    <w:rsid w:val="05959996"/>
    <w:rsid w:val="05FA0975"/>
    <w:rsid w:val="068A1106"/>
    <w:rsid w:val="08581F5A"/>
    <w:rsid w:val="088A4360"/>
    <w:rsid w:val="0A8A2E98"/>
    <w:rsid w:val="0B9CCB47"/>
    <w:rsid w:val="0BEE24AC"/>
    <w:rsid w:val="0D8356D6"/>
    <w:rsid w:val="0DE2D318"/>
    <w:rsid w:val="0DE44D28"/>
    <w:rsid w:val="0E7F6E33"/>
    <w:rsid w:val="103EDAEA"/>
    <w:rsid w:val="109E7504"/>
    <w:rsid w:val="117979B0"/>
    <w:rsid w:val="11890610"/>
    <w:rsid w:val="11908731"/>
    <w:rsid w:val="1233E5F0"/>
    <w:rsid w:val="130C2C28"/>
    <w:rsid w:val="14D8F09A"/>
    <w:rsid w:val="15E8CE35"/>
    <w:rsid w:val="16908327"/>
    <w:rsid w:val="16F46B57"/>
    <w:rsid w:val="173A0E4C"/>
    <w:rsid w:val="18C7DACA"/>
    <w:rsid w:val="1A444F45"/>
    <w:rsid w:val="1A8D7764"/>
    <w:rsid w:val="1B64DFAD"/>
    <w:rsid w:val="1B7882F5"/>
    <w:rsid w:val="1E2CB21F"/>
    <w:rsid w:val="1E899034"/>
    <w:rsid w:val="1EE45A0B"/>
    <w:rsid w:val="1F373516"/>
    <w:rsid w:val="1FF07255"/>
    <w:rsid w:val="20D7DD69"/>
    <w:rsid w:val="20F132FC"/>
    <w:rsid w:val="21540100"/>
    <w:rsid w:val="21C42C6F"/>
    <w:rsid w:val="225CAB8E"/>
    <w:rsid w:val="22CF1E4A"/>
    <w:rsid w:val="24466EA0"/>
    <w:rsid w:val="245BE5E5"/>
    <w:rsid w:val="24A8D5AD"/>
    <w:rsid w:val="2638269D"/>
    <w:rsid w:val="26E39FA4"/>
    <w:rsid w:val="26EF8F2C"/>
    <w:rsid w:val="27A1BF21"/>
    <w:rsid w:val="2A8E7E41"/>
    <w:rsid w:val="2BF165EC"/>
    <w:rsid w:val="2CB41D91"/>
    <w:rsid w:val="2D10F3D1"/>
    <w:rsid w:val="2D8AD4DD"/>
    <w:rsid w:val="2F00DE3F"/>
    <w:rsid w:val="322D10E3"/>
    <w:rsid w:val="322F617C"/>
    <w:rsid w:val="342F1B48"/>
    <w:rsid w:val="347E3610"/>
    <w:rsid w:val="34C015E5"/>
    <w:rsid w:val="353E5E2B"/>
    <w:rsid w:val="35560ED5"/>
    <w:rsid w:val="35BABA1C"/>
    <w:rsid w:val="364FD4B9"/>
    <w:rsid w:val="36B56B16"/>
    <w:rsid w:val="370F9567"/>
    <w:rsid w:val="3742164D"/>
    <w:rsid w:val="38083E89"/>
    <w:rsid w:val="38DF0D16"/>
    <w:rsid w:val="3979776B"/>
    <w:rsid w:val="39E2A914"/>
    <w:rsid w:val="3A725551"/>
    <w:rsid w:val="3B355EBA"/>
    <w:rsid w:val="3BC106BF"/>
    <w:rsid w:val="3C8EB989"/>
    <w:rsid w:val="3D212DD9"/>
    <w:rsid w:val="3D7377EF"/>
    <w:rsid w:val="3FEDEFD6"/>
    <w:rsid w:val="40874784"/>
    <w:rsid w:val="409F7FCC"/>
    <w:rsid w:val="4109EFB1"/>
    <w:rsid w:val="444782B0"/>
    <w:rsid w:val="447B5082"/>
    <w:rsid w:val="47B985C8"/>
    <w:rsid w:val="483F2CAB"/>
    <w:rsid w:val="48F31DC8"/>
    <w:rsid w:val="494197CE"/>
    <w:rsid w:val="4B7BD22E"/>
    <w:rsid w:val="4C90DADE"/>
    <w:rsid w:val="4D13EA85"/>
    <w:rsid w:val="4DCB4622"/>
    <w:rsid w:val="4E65445E"/>
    <w:rsid w:val="50777A38"/>
    <w:rsid w:val="509DDA66"/>
    <w:rsid w:val="50CBCB44"/>
    <w:rsid w:val="50D9AE22"/>
    <w:rsid w:val="512A3B51"/>
    <w:rsid w:val="51314A56"/>
    <w:rsid w:val="51964F36"/>
    <w:rsid w:val="522EC6E8"/>
    <w:rsid w:val="528E59B7"/>
    <w:rsid w:val="53B18BE7"/>
    <w:rsid w:val="544602F0"/>
    <w:rsid w:val="545B4612"/>
    <w:rsid w:val="54D23825"/>
    <w:rsid w:val="5532744F"/>
    <w:rsid w:val="579FBC91"/>
    <w:rsid w:val="57A47703"/>
    <w:rsid w:val="57EE2374"/>
    <w:rsid w:val="5810B521"/>
    <w:rsid w:val="59EE9FBC"/>
    <w:rsid w:val="5A087601"/>
    <w:rsid w:val="5B634ADD"/>
    <w:rsid w:val="5BE520A0"/>
    <w:rsid w:val="5BFD9554"/>
    <w:rsid w:val="5FE4DADF"/>
    <w:rsid w:val="60385E66"/>
    <w:rsid w:val="6059F0C4"/>
    <w:rsid w:val="610772E5"/>
    <w:rsid w:val="6204C741"/>
    <w:rsid w:val="6219016E"/>
    <w:rsid w:val="62244C9E"/>
    <w:rsid w:val="63245E9A"/>
    <w:rsid w:val="63907582"/>
    <w:rsid w:val="640C6E6E"/>
    <w:rsid w:val="64A7F3EB"/>
    <w:rsid w:val="6528D678"/>
    <w:rsid w:val="678A12CE"/>
    <w:rsid w:val="67D3CFE9"/>
    <w:rsid w:val="689A63F4"/>
    <w:rsid w:val="689C2BCA"/>
    <w:rsid w:val="69288766"/>
    <w:rsid w:val="696F8E14"/>
    <w:rsid w:val="6A479021"/>
    <w:rsid w:val="6A8D1672"/>
    <w:rsid w:val="6A8FC2E2"/>
    <w:rsid w:val="6AC9179D"/>
    <w:rsid w:val="6B4701E1"/>
    <w:rsid w:val="6CD236B7"/>
    <w:rsid w:val="6EF52E9A"/>
    <w:rsid w:val="6FE8AC81"/>
    <w:rsid w:val="7046D157"/>
    <w:rsid w:val="741D12AE"/>
    <w:rsid w:val="78773EE0"/>
    <w:rsid w:val="7B820F16"/>
    <w:rsid w:val="7BE838EE"/>
    <w:rsid w:val="7DC98014"/>
    <w:rsid w:val="7E0FCE1D"/>
    <w:rsid w:val="7E217038"/>
    <w:rsid w:val="7E351526"/>
    <w:rsid w:val="7E365822"/>
    <w:rsid w:val="7E56589B"/>
    <w:rsid w:val="7FB5D57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BE5B0F6"/>
  <w15:chartTrackingRefBased/>
  <w15:docId w15:val="{67C234E6-1583-4D8D-B3D4-A9ED151531C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ja-JP"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3B355EBA"/>
    <w:pPr>
      <w:ind w:left="720"/>
      <w:contextualSpacing/>
    </w:pPr>
  </w:style>
  <w:style w:type="table" w:styleId="TableGrid">
    <w:name w:val="Table Grid"/>
    <w:basedOn w:val="Table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table" w:styleId="TableGridLight">
    <w:name w:val="Grid Table Light"/>
    <w:basedOn w:val="TableNormal"/>
    <w:uiPriority w:val="40"/>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 Id="rId7" Type="http://schemas.openxmlformats.org/officeDocument/2006/relationships/image" Target="media/image1.png"/><Relationship Id="rId8" Type="http://schemas.openxmlformats.org/officeDocument/2006/relationships/hyperlink" Target="https://github.com/oumarouabdoulhamid26-svg/MinorShield-Hackathon"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TotalTime>
  <Pages>3</Pages>
  <Words>928</Words>
  <Characters>5296</Characters>
  <Application>Microsoft Office Word</Application>
  <DocSecurity>0</DocSecurity>
  <Lines>44</Lines>
  <Paragraphs>12</Paragraphs>
  <ScaleCrop>false</ScaleCrop>
  <Company/>
  <LinksUpToDate>false</LinksUpToDate>
  <CharactersWithSpaces>6212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Meng, Jiaying</dc:creator>
  <cp:keywords/>
  <dc:description/>
  <cp:lastModifiedBy>Meng, Jiaying</cp:lastModifiedBy>
  <cp:revision>2</cp:revision>
  <dcterms:created xsi:type="dcterms:W3CDTF">2026-09-03T09:11:00Z</dcterms:created>
  <dcterms:modified xsi:type="dcterms:W3CDTF">2026-09-24T12:00:00Z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0a5bf6e0-61e5-49ab-9662-9785c43064d7</vt:lpwstr>
  </property>
</Properties>
</file>