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Pr>
          <w:rFonts w:ascii="Times New Roman" w:eastAsia="Times New Roman" w:hAnsi="Times New Roman" w:cs="Times New Roman"/>
          <w:b/>
          <w:bCs/>
          <w:color w:val="000000" w:themeColor="text1"/>
          <w:sz w:val="28"/>
          <w:szCs w:val="28"/>
        </w:rPr>
        <w:t>AI for Good Sandbox Hackathon – [Team Name] – MinorShield Policy Lab</w:t>
      </w:r>
    </w:p>
    <w:p w14:paraId="3CB4C377" w14:textId="5FC68465" w:rsidR="109E7504" w:rsidRDefault="109E7504"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Team leader: Abdoul-Hamid Oumarou</w:t>
      </w:r>
    </w:p>
    <w:p w14:paraId="22D4FB2E" w14:textId="09E96DD5" w:rsidR="109E7504" w:rsidRDefault="0A8A2E98" w:rsidP="78773EE0">
      <w:pPr>
        <w:spacing w:after="0"/>
        <w:jc w:val="left"/>
        <w:rPr>
          <w:rFonts w:ascii="Times New Roman" w:eastAsia="Times New Roman" w:hAnsi="Times New Roman" w:cs="Times New Roman"/>
          <w:color w:val="000000" w:themeColor="text1"/>
        </w:rPr>
      </w:pPr>
      <w:r>
        <w:rPr>
          <w:rFonts w:ascii="Times New Roman" w:hAnsi="Times New Roman" w:eastAsia="Times New Roman"/>
          <w:sz w:val="21"/>
        </w:rPr>
        <w:t>Team members: [to be completed]</w:t>
        <w:br/>
      </w:r>
      <w:r>
        <w:rPr>
          <w:rFonts w:ascii="Times New Roman" w:hAnsi="Times New Roman" w:eastAsia="Times New Roman"/>
          <w:sz w:val="21"/>
        </w:rPr>
        <w:t>Contact details: oumarouabdoulhamid26@gmail.com</w:t>
      </w:r>
    </w:p>
    <w:p w14:paraId="2CEE87C7" w14:textId="456B525D" w:rsidR="109E7504" w:rsidRDefault="0A8A2E98"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Github link: [to be added after publication]</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Introduction</w:t>
      </w:r>
    </w:p>
    <w:p>
      <w:pPr>
        <w:spacing w:after="60" w:before="0" w:line="240" w:lineRule="auto"/>
        <w:jc w:val="both"/>
      </w:pPr>
      <w:r>
        <w:rPr>
          <w:rFonts w:ascii="Times New Roman" w:hAnsi="Times New Roman" w:eastAsia="Times New Roman"/>
          <w:sz w:val="21"/>
        </w:rPr>
        <w:t>MinorShield is a mobile parental-control app that uses artificial intelligence, directly on the child’s phone, to detect dangerous content — nudity, violence, toxic text — and alert parents immediately, without ever transmitting the image or the child’s identity. It is an AI-for-good solution for protecting minors online, and it is this project’s use case. But deploying such a tool in Cameroon raises a question that has never been tested: when it detects a real crisis, such as a sexual-extortion (“sextortion”) ring targeting school students, can the country’s institutions lawfully receive its alert, coordinate, and act?</w:t>
      </w:r>
    </w:p>
    <w:p>
      <w:pPr>
        <w:spacing w:after="60" w:before="0" w:line="240" w:lineRule="auto"/>
        <w:jc w:val="both"/>
      </w:pPr>
      <w:r>
        <w:rPr>
          <w:rFonts w:ascii="Times New Roman" w:hAnsi="Times New Roman" w:eastAsia="Times New Roman"/>
          <w:b/>
          <w:sz w:val="21"/>
        </w:rPr>
        <w:t>Such a crisis falls to no single institution: it mobilises a regulator, the telecom operators, a foreign platform, the police, the prosecutor, social services, schools, and the companies that hold children’s data. Cameroon has adopted a Child Online Protection Charter (Law No. 2023/009 of 25 July 2023), but how its institutions would coordinate in applying it during a real crisis — triggered by a tool such as MinorShield — has never been rehearsed. Simulation exercises are rare, costly, and rely on how well participants remember the law.</w:t>
      </w:r>
      <w:r>
        <w:rPr>
          <w:rFonts w:ascii="Times New Roman" w:hAnsi="Times New Roman" w:eastAsia="Times New Roman"/>
          <w:sz w:val="21"/>
        </w:rPr>
      </w:r>
    </w:p>
    <w:p>
      <w:pPr>
        <w:spacing w:after="60" w:before="0" w:line="240" w:lineRule="auto"/>
        <w:jc w:val="both"/>
      </w:pPr>
      <w:r>
        <w:rPr>
          <w:rFonts w:ascii="Times New Roman" w:hAnsi="Times New Roman" w:eastAsia="Times New Roman"/>
          <w:sz w:val="21"/>
        </w:rPr>
        <w:t>To stress-test the legal environment around our use case, we built MinorShield Policy Lab, a multi-agent policy sandbox. Thirteen AI agents, each playing a real Cameroonian institution or private actor, handle a sextortion crisis triggered by a MinorShield alert and revealed in stages. Each agent knows only what has been disclosed to it, acts within the mandate the law gives it, and must justify every action with an article it actually retrieved from a national knowledge base. A legal-advisor agent judges the legal basis of each action, flags the gaps in Cameroonian law, and compares them with the European Union, the United Kingdom, the United States, and Australia. Every citation is verified automatically and every step is written to an audit log. The project thus answers directly to dimension D10 (AI and policy) of the AI readiness framework — using AI to experiment with policy before a crisis — and also touches D7 (strategic alignment), D4 (contextualisation and regional impact), and D8 (collaboration with AI).</w:t>
      </w:r>
      <w:r>
        <w:rPr>
          <w:rFonts w:ascii="Times New Roman" w:hAnsi="Times New Roman" w:eastAsia="Times New Roman"/>
          <w:b/>
          <w:sz w:val="21"/>
        </w:rPr>
      </w:r>
      <w:r>
        <w:rPr>
          <w:rFonts w:ascii="Times New Roman" w:hAnsi="Times New Roman" w:eastAsia="Times New Roman"/>
          <w:sz w:val="21"/>
        </w:rPr>
      </w:r>
      <w:r>
        <w:rPr>
          <w:rFonts w:ascii="Times New Roman" w:hAnsi="Times New Roman" w:eastAsia="Times New Roman"/>
          <w:b/>
          <w:sz w:val="21"/>
        </w:rPr>
      </w:r>
      <w:r>
        <w:rPr>
          <w:rFonts w:ascii="Times New Roman" w:hAnsi="Times New Roman" w:eastAsia="Times New Roman"/>
          <w:sz w:val="21"/>
        </w:rPr>
      </w:r>
    </w:p>
    <w:p w14:paraId="5C97044B" w14:textId="651C385A" w:rsidR="109E7504" w:rsidRDefault="0A8A2E98"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Description of the use case</w:t>
      </w:r>
    </w:p>
    <w:p>
      <w:pPr>
        <w:spacing w:after="60" w:before="0" w:line="240" w:lineRule="auto"/>
        <w:jc w:val="both"/>
      </w:pPr>
      <w:r>
        <w:rPr>
          <w:rFonts w:ascii="Times New Roman" w:hAnsi="Times New Roman" w:eastAsia="Times New Roman"/>
          <w:b/>
          <w:sz w:val="21"/>
        </w:rPr>
        <w:t>The use case. MinorShield continuously analyses, on the child’s device, the screenshots and on-screen text: a vision model detects nudity and violence, a language model spots toxic speech, and the parent receives an alert with a score, without the image ever leaving the phone. The tool shares only aggregated, anonymised trends with the outside world. Such a system truly protects children only if, when it reveals a real crisis, the legal framework lets institutions receive the alert and act. It is this policy environment — not the app’s code — that our sandbox puts to the test.</w:t>
      </w:r>
      <w:r>
        <w:rPr>
          <w:rFonts w:ascii="Times New Roman" w:hAnsi="Times New Roman" w:eastAsia="Times New Roman"/>
          <w:sz w:val="21"/>
        </w:rPr>
      </w:r>
    </w:p>
    <w:p>
      <w:pPr>
        <w:spacing w:after="60" w:before="0" w:line="240" w:lineRule="auto"/>
        <w:jc w:val="both"/>
      </w:pPr>
      <w:r>
        <w:rPr>
          <w:rFonts w:ascii="Times New Roman" w:hAnsi="Times New Roman" w:eastAsia="Times New Roman"/>
          <w:b/>
          <w:sz w:val="21"/>
        </w:rPr>
        <w:t>Gaps in existing approaches for stress-testing this environment. (1) Crisis exercises are rare, expensive, and leave no trace of why a decision was taken. (2) General-purpose chatbots answer legal questions from memory and invent plausible-sounding articles. (3) Comparisons with foreign law are done by hand, one country at a time. (4) Nobody can see in advance where mandates overlap or where no institution is competent.</w:t>
      </w:r>
      <w:r>
        <w:rPr>
          <w:rFonts w:ascii="Times New Roman" w:hAnsi="Times New Roman" w:eastAsia="Times New Roman"/>
          <w:sz w:val="21"/>
        </w:rPr>
      </w:r>
    </w:p>
    <w:p>
      <w:pPr>
        <w:spacing w:after="60" w:before="0" w:line="240" w:lineRule="auto"/>
        <w:jc w:val="both"/>
      </w:pPr>
      <w:r>
        <w:rPr>
          <w:rFonts w:ascii="Times New Roman" w:hAnsi="Times New Roman" w:eastAsia="Times New Roman"/>
          <w:b/>
          <w:sz w:val="21"/>
        </w:rPr>
        <w:t>Our solution</w:t>
      </w:r>
      <w:r>
        <w:rPr>
          <w:rFonts w:ascii="Times New Roman" w:hAnsi="Times New Roman" w:eastAsia="Times New Roman"/>
          <w:sz w:val="21"/>
        </w:rPr>
        <w:t xml:space="preserve"> answers each gap:</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A citable knowledge base.</w:t>
      </w:r>
      <w:r>
        <w:rPr>
          <w:rFonts w:ascii="Times New Roman" w:hAnsi="Times New Roman" w:eastAsia="Times New Roman"/>
          <w:sz w:val="21"/>
        </w:rPr>
        <w:t xml:space="preserve"> 11 official Cameroonian texts (Laws 2023/009, 2010/012 on cybersecurity, 2010/013 and 2015/006 on electronic communications, 2010/021 on e-commerce, and six implementing decrees including those organising ANTIC, ART and MINPOSTEL), taken from the 2023 official compendium published by the telecom regulator; 5 foreign references (EU Digital Services Act, GDPR, UK Online Safety Act 2023, US COPPA Rule 16 CFR 312, Australian Online Safety Act 2021); and the 64 strategy and use-case documents supplied by ITU. Legal texts are split </w:t>
      </w:r>
      <w:r>
        <w:rPr>
          <w:rFonts w:ascii="Times New Roman" w:hAnsi="Times New Roman" w:eastAsia="Times New Roman"/>
          <w:b/>
          <w:sz w:val="21"/>
        </w:rPr>
        <w:t>article by article</w:t>
      </w:r>
      <w:r>
        <w:rPr>
          <w:rFonts w:ascii="Times New Roman" w:hAnsi="Times New Roman" w:eastAsia="Times New Roman"/>
          <w:sz w:val="21"/>
        </w:rPr>
        <w:t xml:space="preserve"> with their page number, so each extract is a citable unit (7,740 indexed chunks in total). Provenance of every file is documented.</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Role agents with real mandates.</w:t>
      </w:r>
      <w:r>
        <w:rPr>
          <w:rFonts w:ascii="Times New Roman" w:hAnsi="Times New Roman" w:eastAsia="Times New Roman"/>
          <w:sz w:val="21"/>
        </w:rPr>
        <w:t xml:space="preserve"> Each of the 15 agents (13 actors, 1 legal advisor, 1 neutral facilitator) has a role card: mission, legal basis, limits, priority sources. Mandates were written from the articles of Law 2023/009 (e.g. art. 27–29 for the ICT regulator ANTIC, art. 32 for police and prosecutors, art. 33 for internet access providers).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Unequal, sequenced information.</w:t>
      </w:r>
      <w:r>
        <w:rPr>
          <w:rFonts w:ascii="Times New Roman" w:hAnsi="Times New Roman" w:eastAsia="Times New Roman"/>
          <w:sz w:val="21"/>
        </w:rPr>
        <w:t xml:space="preserve"> The scenario “Operation Mirror” has 5 injects over 3 days, each revealed only to the concerned institutions: a 400% rise in blocked content detected by MinorShield; two victims (aged 15 and 19), one facing school exclusion; images spreading on a foreign platform (“Tchatlink”, fictitious); a data leak from a school-management app (“ScolaPlus”, fictitious) used by 300 schools; and a proposal to block the platform nationwide.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Coordination by requests.</w:t>
      </w:r>
      <w:r>
        <w:rPr>
          <w:rFonts w:ascii="Times New Roman" w:hAnsi="Times New Roman" w:eastAsia="Times New Roman"/>
          <w:sz w:val="21"/>
        </w:rPr>
        <w:t xml:space="preserve"> Agents address requests to each other; the facilitator routes them and returns the answers to the sender's inbox, so information spreads only through exchanges.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Verified citations.</w:t>
      </w:r>
      <w:r>
        <w:rPr>
          <w:rFonts w:ascii="Times New Roman" w:hAnsi="Times New Roman" w:eastAsia="Times New Roman"/>
          <w:sz w:val="21"/>
        </w:rPr>
        <w:t xml:space="preserve"> Each legal claim receives a status: supported (cites an extract actually provided), doubtful (mentions an article, a named law or a jurisdiction absent from the cited extract), unsupported (no citation) or invalid (cites an extract that was never provided, i.e. an invention).</w:t>
      </w:r>
    </w:p>
    <w:p>
      <w:pPr>
        <w:keepNext/>
        <w:spacing w:before="80" w:after="0"/>
        <w:jc w:val="center"/>
      </w:pPr>
      <w:r>
        <w:drawing>
          <wp:inline xmlns:a="http://schemas.openxmlformats.org/drawingml/2006/main" xmlns:pic="http://schemas.openxmlformats.org/drawingml/2006/picture">
            <wp:extent cx="5868000" cy="1944694"/>
            <wp:docPr id="1" name="Picture 1"/>
            <wp:cNvGraphicFramePr>
              <a:graphicFrameLocks noChangeAspect="1"/>
            </wp:cNvGraphicFramePr>
            <a:graphic>
              <a:graphicData uri="http://schemas.openxmlformats.org/drawingml/2006/picture">
                <pic:pic>
                  <pic:nvPicPr>
                    <pic:cNvPr id="0" name="fig_en.png"/>
                    <pic:cNvPicPr/>
                  </pic:nvPicPr>
                  <pic:blipFill>
                    <a:blip r:embed="rId7"/>
                    <a:stretch>
                      <a:fillRect/>
                    </a:stretch>
                  </pic:blipFill>
                  <pic:spPr>
                    <a:xfrm>
                      <a:off x="0" y="0"/>
                      <a:ext cx="5868000" cy="1944694"/>
                    </a:xfrm>
                    <a:prstGeom prst="rect"/>
                  </pic:spPr>
                </pic:pic>
              </a:graphicData>
            </a:graphic>
          </wp:inline>
        </w:drawing>
      </w:r>
    </w:p>
    <w:p>
      <w:pPr>
        <w:spacing w:after="80"/>
        <w:jc w:val="center"/>
      </w:pPr>
      <w:r>
        <w:rPr>
          <w:rFonts w:ascii="Times New Roman" w:hAnsi="Times New Roman" w:eastAsia="Times New Roman"/>
          <w:i/>
          <w:sz w:val="18"/>
        </w:rPr>
        <w:t>Figure 1 – Architecture of MinorShield Policy Lab mapped onto the ITU-T Y.3172 pipeline</w:t>
      </w:r>
    </w:p>
    <w:p w14:paraId="15342D17" w14:textId="3BD60088" w:rsidR="64A7F3EB" w:rsidRDefault="64A7F3EB"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Use case requirements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Source data (SRC):</w:t>
      </w:r>
      <w:r>
        <w:rPr>
          <w:rFonts w:ascii="Times New Roman" w:hAnsi="Times New Roman" w:eastAsia="Times New Roman"/>
          <w:sz w:val="21"/>
        </w:rPr>
        <w:t xml:space="preserve"> legal texts must come from official publications, with the exact source, date and page recorded; MinorShield may only share </w:t>
      </w:r>
      <w:r>
        <w:rPr>
          <w:rFonts w:ascii="Times New Roman" w:hAnsi="Times New Roman" w:eastAsia="Times New Roman"/>
          <w:b/>
          <w:sz w:val="21"/>
        </w:rPr>
        <w:t>aggregated, anonymised</w:t>
      </w:r>
      <w:r>
        <w:rPr>
          <w:rFonts w:ascii="Times New Roman" w:hAnsi="Times New Roman" w:eastAsia="Times New Roman"/>
          <w:sz w:val="21"/>
        </w:rPr>
        <w:t xml:space="preserve"> trend data, never a child's content or identity.</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Collection and preprocessing:</w:t>
      </w:r>
      <w:r>
        <w:rPr>
          <w:rFonts w:ascii="Times New Roman" w:hAnsi="Times New Roman" w:eastAsia="Times New Roman"/>
          <w:sz w:val="21"/>
        </w:rPr>
        <w:t xml:space="preserve"> native text extraction (OCR only as a cross-check of a scanned copy); headers and footers removed; article-level chunking that rejects false article references; country and document-type tagging; multilingual embeddings computed </w:t>
      </w:r>
      <w:r>
        <w:rPr>
          <w:rFonts w:ascii="Times New Roman" w:hAnsi="Times New Roman" w:eastAsia="Times New Roman"/>
          <w:b/>
          <w:sz w:val="21"/>
        </w:rPr>
        <w:t>locally</w:t>
      </w:r>
      <w:r>
        <w:rPr>
          <w:rFonts w:ascii="Times New Roman" w:hAnsi="Times New Roman" w:eastAsia="Times New Roman"/>
          <w:sz w:val="21"/>
        </w:rPr>
        <w:t xml:space="preserve"> (bge-m3 via Ollama), so no legal corpus leaves the machine.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Model:</w:t>
      </w:r>
      <w:r>
        <w:rPr>
          <w:rFonts w:ascii="Times New Roman" w:hAnsi="Times New Roman" w:eastAsia="Times New Roman"/>
          <w:sz w:val="21"/>
        </w:rPr>
        <w:t xml:space="preserve"> an open-weight reasoning model (gpt-oss-120b, served by Groq), structured JSON output (evaluation, actions, legal basis, requests, gaps, confidence, explicit reasoning). Each request must fit the free-tier limit of 8,000 tokens per minute, so the context is fitted automatically (at most 4 extracts of 600 characters per agent; the advisor keeps one extract per foreign jurisdiction).</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Policy rules:</w:t>
      </w:r>
      <w:r>
        <w:rPr>
          <w:rFonts w:ascii="Times New Roman" w:hAnsi="Times New Roman" w:eastAsia="Times New Roman"/>
          <w:sz w:val="21"/>
        </w:rPr>
        <w:t xml:space="preserve"> an agent acts only on information revealed to it; it may cite only the extract IDs it received, never an article from memory; it must state what the law does not allow it to do.</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Sink and human oversight:</w:t>
      </w:r>
      <w:r>
        <w:rPr>
          <w:rFonts w:ascii="Times New Roman" w:hAnsi="Times New Roman" w:eastAsia="Times New Roman"/>
          <w:sz w:val="21"/>
        </w:rPr>
        <w:t xml:space="preserve"> outputs (audit log, report, demonstration page) are deliberation material for human decision-makers, not legal advice. Every run records the model, tokens and duration for reproducibility; the reference run used 159,930 tokens in 19 minutes on a CPU-only laptop.</w:t>
      </w:r>
    </w:p>
    <w:p w14:paraId="7C572FF3" w14:textId="10C293CF" w:rsidR="109E7504" w:rsidRDefault="0A8A2E98"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Mapping with ITU-T Y.3172, the AI Readiness framework and domain-specific policies</w:t>
      </w:r>
    </w:p>
    <w:p>
      <w:pPr>
        <w:spacing w:after="60" w:before="0" w:line="240" w:lineRule="auto"/>
        <w:jc w:val="both"/>
      </w:pPr>
      <w:r>
        <w:rPr>
          <w:rFonts w:ascii="Times New Roman" w:hAnsi="Times New Roman" w:eastAsia="Times New Roman"/>
          <w:sz w:val="21"/>
        </w:rPr>
        <w:t>The table maps each node of the ITU-T Y.3172 machine-learning pipeline to our implementation, to the dimensions of the ITU AI Readiness framework, and to the documents in our knowledge base that set the corresponding requirements.</w:t>
      </w:r>
    </w:p>
    <w:tbl>
      <w:tblPr>
        <w:tblStyle w:val="TableGridLight"/>
        <w:tblW w:w="9359"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541"/>
        <w:gridCol w:w="2300"/>
        <w:gridCol w:w="2300"/>
        <w:gridCol w:w="3218"/>
      </w:tblGrid>
      <w:tr w:rsidR="3B355EBA" w14:paraId="6E70CE7A" w14:textId="77777777" w:rsidTr="78773EE0">
        <w:trPr>
          <w:tblHeader w:val="true"/>
        </w:trPr>
        <w:tc>
          <w:tcPr>
            <w:tcW w:w="1541" w:type="dxa"/>
            <w:tcMar>
              <w:left w:w="105" w:type="dxa"/>
              <w:right w:w="105" w:type="dxa"/>
            </w:tcMar>
          </w:tcPr>
          <w:p w14:paraId="4718062F" w14:textId="36A9FD3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Node</w:t>
            </w:r>
          </w:p>
        </w:tc>
        <w:tc>
          <w:tcPr>
            <w:tcW w:w="2300" w:type="dxa"/>
            <w:tcMar>
              <w:left w:w="105" w:type="dxa"/>
              <w:right w:w="105" w:type="dxa"/>
            </w:tcMar>
          </w:tcPr>
          <w:p w14:paraId="701CB69A" w14:textId="3E7836ED"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Use case (child online protection crisis)</w:t>
            </w:r>
          </w:p>
        </w:tc>
        <w:tc>
          <w:tcPr>
            <w:tcW w:w="2300" w:type="dxa"/>
            <w:tcMar>
              <w:left w:w="105" w:type="dxa"/>
              <w:right w:w="105" w:type="dxa"/>
            </w:tcMar>
          </w:tcPr>
          <w:p w14:paraId="771B921A" w14:textId="7EC14DE2" w:rsidR="347E3610" w:rsidRDefault="347E3610" w:rsidP="78773EE0">
            <w:pPr>
              <w:spacing w:after="0" w:line="240" w:lineRule="auto"/>
            </w:pPr>
            <w:r>
              <w:rPr>
                <w:rFonts w:ascii="Times New Roman" w:hAnsi="Times New Roman" w:eastAsia="Times New Roman"/>
                <w:b/>
                <w:sz w:val="17"/>
              </w:rPr>
              <w:t>Readiness 2.0 Report</w:t>
            </w:r>
          </w:p>
        </w:tc>
        <w:tc>
          <w:tcPr>
            <w:tcW w:w="3218" w:type="dxa"/>
            <w:tcMar>
              <w:left w:w="105" w:type="dxa"/>
              <w:right w:w="105" w:type="dxa"/>
            </w:tcMar>
          </w:tcPr>
          <w:p w14:paraId="6BB9BD28" w14:textId="6953EB5E"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Documents (policies, strategies, regulations)</w:t>
            </w:r>
          </w:p>
        </w:tc>
      </w:tr>
      <w:tr w:rsidR="3B355EBA" w14:paraId="1192C389" w14:textId="77777777" w:rsidTr="78773EE0">
        <w:trPr/>
        <w:tc>
          <w:tcPr>
            <w:tcW w:w="1541" w:type="dxa"/>
            <w:tcMar>
              <w:left w:w="105" w:type="dxa"/>
              <w:right w:w="105" w:type="dxa"/>
            </w:tcMar>
          </w:tcPr>
          <w:p w14:paraId="3F2D5CF0" w14:textId="42785368"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SRC</w:t>
            </w:r>
          </w:p>
        </w:tc>
        <w:tc>
          <w:tcPr>
            <w:tcW w:w="2300" w:type="dxa"/>
            <w:tcMar>
              <w:left w:w="105" w:type="dxa"/>
              <w:right w:w="105" w:type="dxa"/>
            </w:tcMar>
          </w:tcPr>
          <w:p w14:paraId="2806957D" w14:textId="64358456" w:rsidR="3B355EBA" w:rsidRDefault="3B355EBA" w:rsidP="3B355EBA">
            <w:pPr>
              <w:spacing w:after="0" w:line="240" w:lineRule="auto"/>
              <w:rPr>
                <w:rFonts w:ascii="Times New Roman" w:eastAsia="Times New Roman" w:hAnsi="Times New Roman" w:cs="Times New Roman"/>
                <w:color w:val="000000" w:themeColor="text1"/>
              </w:rPr>
            </w:pPr>
            <w:proofErr w:type="gramStart"/>
            <w:proofErr w:type="gramEnd"/>
            <w:r>
              <w:rPr>
                <w:rFonts w:ascii="Times New Roman" w:hAnsi="Times New Roman" w:eastAsia="Times New Roman"/>
                <w:sz w:val="17"/>
              </w:rPr>
              <w:t>Official Cameroonian laws and decrees; foreign references; ITU strategy corpus; MinorShield aggregated alerts</w:t>
            </w:r>
          </w:p>
        </w:tc>
        <w:tc>
          <w:tcPr>
            <w:tcW w:w="2300" w:type="dxa"/>
            <w:tcMar>
              <w:left w:w="105" w:type="dxa"/>
              <w:right w:w="105" w:type="dxa"/>
            </w:tcMar>
          </w:tcPr>
          <w:p w14:paraId="06DA74EA" w14:textId="7F5F7F26" w:rsidR="3C8EB989" w:rsidRDefault="3C8EB989" w:rsidP="78773EE0">
            <w:pPr>
              <w:spacing w:after="0" w:line="240" w:lineRule="auto"/>
            </w:pPr>
            <w:r>
              <w:rPr>
                <w:rFonts w:ascii="Times New Roman" w:hAnsi="Times New Roman" w:eastAsia="Times New Roman"/>
                <w:sz w:val="17"/>
              </w:rPr>
              <w:t>D1 Data/Model Marketplace (dataset properties, data sources, provenance); D4 Contextualization</w:t>
            </w:r>
          </w:p>
        </w:tc>
        <w:tc>
          <w:tcPr>
            <w:tcW w:w="3218" w:type="dxa"/>
            <w:tcMar>
              <w:left w:w="105" w:type="dxa"/>
              <w:right w:w="105" w:type="dxa"/>
            </w:tcMar>
          </w:tcPr>
          <w:p w14:paraId="0F6C8F7C" w14:textId="580EA522"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Law 2023/009 (Child Online Protection Charter); Law 2010/012 (cybersecurity); Decree 2019/150 (ANTIC); Law 2024/017 (data protection, text not yet available)</w:t>
            </w:r>
          </w:p>
        </w:tc>
      </w:tr>
      <w:tr w:rsidR="3B355EBA" w14:paraId="3EFD1671" w14:textId="77777777" w:rsidTr="78773EE0">
        <w:trPr/>
        <w:tc>
          <w:tcPr>
            <w:tcW w:w="1541" w:type="dxa"/>
            <w:tcMar>
              <w:left w:w="105" w:type="dxa"/>
              <w:right w:w="105" w:type="dxa"/>
            </w:tcMar>
          </w:tcPr>
          <w:p w14:paraId="132C3FDA" w14:textId="7A46E79D"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C</w:t>
            </w:r>
          </w:p>
        </w:tc>
        <w:tc>
          <w:tcPr>
            <w:tcW w:w="2300" w:type="dxa"/>
            <w:tcMar>
              <w:left w:w="105" w:type="dxa"/>
              <w:right w:w="105" w:type="dxa"/>
            </w:tcMar>
          </w:tcPr>
          <w:p w14:paraId="07A82C8D" w14:textId="14EB507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Ingestion scripts: PDF/HTML to text, splitting of the official compendium, incremental addition</w:t>
            </w:r>
          </w:p>
        </w:tc>
        <w:tc>
          <w:tcPr>
            <w:tcW w:w="2300" w:type="dxa"/>
            <w:tcMar>
              <w:left w:w="105" w:type="dxa"/>
              <w:right w:w="105" w:type="dxa"/>
            </w:tcMar>
          </w:tcPr>
          <w:p w14:paraId="00F142B6" w14:textId="59928C05" w:rsidR="38DF0D16" w:rsidRDefault="38DF0D16" w:rsidP="78773EE0">
            <w:pPr>
              <w:spacing w:after="0" w:line="240" w:lineRule="auto"/>
            </w:pPr>
            <w:r>
              <w:rPr>
                <w:rFonts w:ascii="Times New Roman" w:hAnsi="Times New Roman" w:eastAsia="Times New Roman"/>
                <w:sz w:val="17"/>
              </w:rPr>
              <w:t>D3 Cross-Domain Correlation (law, strategies, use cases); D13 Digital Infrastructure (CPU-only laptop)</w:t>
            </w:r>
          </w:p>
        </w:tc>
        <w:tc>
          <w:tcPr>
            <w:tcW w:w="3218" w:type="dxa"/>
            <w:tcMar>
              <w:left w:w="105" w:type="dxa"/>
              <w:right w:w="105" w:type="dxa"/>
            </w:tcMar>
          </w:tcPr>
          <w:p w14:paraId="34C5DE4C" w14:textId="39758B9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ITU reference code (ITUAIReadiness, MIT licence); provenance record (docs/SOURCES.md)</w:t>
            </w:r>
          </w:p>
        </w:tc>
      </w:tr>
      <w:tr w:rsidR="3B355EBA" w14:paraId="693735BB" w14:textId="77777777" w:rsidTr="78773EE0">
        <w:trPr/>
        <w:tc>
          <w:tcPr>
            <w:tcW w:w="1541" w:type="dxa"/>
            <w:tcMar>
              <w:left w:w="105" w:type="dxa"/>
              <w:right w:w="105" w:type="dxa"/>
            </w:tcMar>
          </w:tcPr>
          <w:p w14:paraId="5462EED1" w14:textId="02892843"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PP</w:t>
            </w:r>
          </w:p>
        </w:tc>
        <w:tc>
          <w:tcPr>
            <w:tcW w:w="2300" w:type="dxa"/>
            <w:tcMar>
              <w:left w:w="105" w:type="dxa"/>
              <w:right w:w="105" w:type="dxa"/>
            </w:tcMar>
          </w:tcPr>
          <w:p w14:paraId="50BDC54C" w14:textId="63E5AF6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Article-level chunking with page; country and type tagging; local bge-m3 embeddings; vector store</w:t>
            </w:r>
          </w:p>
        </w:tc>
        <w:tc>
          <w:tcPr>
            <w:tcW w:w="2300" w:type="dxa"/>
            <w:tcMar>
              <w:left w:w="105" w:type="dxa"/>
              <w:right w:w="105" w:type="dxa"/>
            </w:tcMar>
          </w:tcPr>
          <w:p w14:paraId="078723A0" w14:textId="3901DBB3" w:rsidR="0DE2D318" w:rsidRDefault="0DE2D318" w:rsidP="78773EE0">
            <w:pPr>
              <w:spacing w:after="0" w:line="240" w:lineRule="auto"/>
            </w:pPr>
            <w:r>
              <w:rPr>
                <w:rFonts w:ascii="Times New Roman" w:hAnsi="Times New Roman" w:eastAsia="Times New Roman"/>
                <w:sz w:val="17"/>
              </w:rPr>
              <w:t>D1 metadata; Standards factor (interoperable, citable units)</w:t>
            </w:r>
          </w:p>
        </w:tc>
        <w:tc>
          <w:tcPr>
            <w:tcW w:w="3218" w:type="dxa"/>
            <w:tcMar>
              <w:left w:w="105" w:type="dxa"/>
              <w:right w:w="105" w:type="dxa"/>
            </w:tcMar>
          </w:tcPr>
          <w:p w14:paraId="3D26FBAA" w14:textId="7A9407F9"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ITU-T Y.3172 (preprocessing); official article numbering of each text</w:t>
            </w:r>
          </w:p>
        </w:tc>
      </w:tr>
      <w:tr w:rsidR="3B355EBA" w14:paraId="615EC48C" w14:textId="77777777" w:rsidTr="78773EE0">
        <w:trPr/>
        <w:tc>
          <w:tcPr>
            <w:tcW w:w="1541" w:type="dxa"/>
            <w:tcMar>
              <w:left w:w="105" w:type="dxa"/>
              <w:right w:w="105" w:type="dxa"/>
            </w:tcMar>
          </w:tcPr>
          <w:p w14:paraId="4C90E070" w14:textId="0F295A16"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M</w:t>
            </w:r>
          </w:p>
        </w:tc>
        <w:tc>
          <w:tcPr>
            <w:tcW w:w="2300" w:type="dxa"/>
            <w:tcMar>
              <w:left w:w="105" w:type="dxa"/>
              <w:right w:w="105" w:type="dxa"/>
            </w:tcMar>
          </w:tcPr>
          <w:p w14:paraId="63DB4D10" w14:textId="02ED8720"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15 agents on open-weight gpt-oss-120b, retrieval-augmented, structured JSON with explicit reasoning</w:t>
            </w:r>
          </w:p>
        </w:tc>
        <w:tc>
          <w:tcPr>
            <w:tcW w:w="2300" w:type="dxa"/>
            <w:tcMar>
              <w:left w:w="105" w:type="dxa"/>
              <w:right w:w="105" w:type="dxa"/>
            </w:tcMar>
          </w:tcPr>
          <w:p w14:paraId="55755B57" w14:textId="4EC6812A" w:rsidR="1F373516" w:rsidRDefault="1F373516" w:rsidP="78773EE0">
            <w:pPr>
              <w:spacing w:after="0" w:line="240" w:lineRule="auto"/>
            </w:pPr>
            <w:r>
              <w:rPr>
                <w:rFonts w:ascii="Times New Roman" w:hAnsi="Times New Roman" w:eastAsia="Times New Roman"/>
                <w:sz w:val="17"/>
              </w:rPr>
              <w:t>D5 Integration in Workflows; D9 Impact of Humans (role cards written from legal mandates); Open Source factor</w:t>
            </w:r>
          </w:p>
        </w:tc>
        <w:tc>
          <w:tcPr>
            <w:tcW w:w="3218" w:type="dxa"/>
            <w:tcMar>
              <w:left w:w="105" w:type="dxa"/>
              <w:right w:w="105" w:type="dxa"/>
            </w:tcMar>
          </w:tcPr>
          <w:p w14:paraId="2B7D959A" w14:textId="76810B2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G7 Hiroshima Code of Conduct; Singapore Model AI Governance Framework for GenAI 2024; EU AI Act (summary)</w:t>
            </w:r>
          </w:p>
        </w:tc>
      </w:tr>
      <w:tr w:rsidR="3B355EBA" w14:paraId="5B9AA44C" w14:textId="77777777" w:rsidTr="78773EE0">
        <w:trPr/>
        <w:tc>
          <w:tcPr>
            <w:tcW w:w="1541" w:type="dxa"/>
            <w:tcMar>
              <w:left w:w="105" w:type="dxa"/>
              <w:right w:w="105" w:type="dxa"/>
            </w:tcMar>
          </w:tcPr>
          <w:p w14:paraId="4A051596" w14:textId="4EFBBEFD"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P</w:t>
            </w:r>
          </w:p>
        </w:tc>
        <w:tc>
          <w:tcPr>
            <w:tcW w:w="2300" w:type="dxa"/>
            <w:tcMar>
              <w:left w:w="105" w:type="dxa"/>
              <w:right w:w="105" w:type="dxa"/>
            </w:tcMar>
          </w:tcPr>
          <w:p w14:paraId="4E5FC059" w14:textId="24BA5A12" w:rsidR="3B355EBA" w:rsidRDefault="3B355EBA" w:rsidP="3B355EBA">
            <w:pPr>
              <w:spacing w:after="0" w:line="240" w:lineRule="auto"/>
              <w:rPr>
                <w:rFonts w:ascii="Times New Roman" w:eastAsia="Times New Roman" w:hAnsi="Times New Roman" w:cs="Times New Roman"/>
                <w:color w:val="000000" w:themeColor="text1"/>
              </w:rPr>
            </w:pPr>
            <w:proofErr w:type="gramStart"/>
            <w:proofErr w:type="gramEnd"/>
            <w:r>
              <w:rPr>
                <w:rFonts w:ascii="Times New Roman" w:hAnsi="Times New Roman" w:eastAsia="Times New Roman"/>
                <w:sz w:val="17"/>
              </w:rPr>
              <w:t>Information visibility per agent; cite-or-flag rule; mandate limits; advisor verdicts; automatic citation check</w:t>
            </w:r>
          </w:p>
        </w:tc>
        <w:tc>
          <w:tcPr>
            <w:tcW w:w="2300" w:type="dxa"/>
            <w:tcMar>
              <w:left w:w="105" w:type="dxa"/>
              <w:right w:w="105" w:type="dxa"/>
            </w:tcMar>
          </w:tcPr>
          <w:p w14:paraId="508B09FC" w14:textId="26281D66" w:rsidR="7DC98014" w:rsidRDefault="7DC98014" w:rsidP="78773EE0">
            <w:pPr>
              <w:spacing w:after="0" w:line="240" w:lineRule="auto"/>
            </w:pPr>
            <w:r>
              <w:rPr>
                <w:rFonts w:ascii="Times New Roman" w:hAnsi="Times New Roman" w:eastAsia="Times New Roman"/>
                <w:sz w:val="17"/>
              </w:rPr>
              <w:t>D10 AI &amp; Policies; D8 Collaboration with AI</w:t>
            </w:r>
          </w:p>
        </w:tc>
        <w:tc>
          <w:tcPr>
            <w:tcW w:w="3218" w:type="dxa"/>
            <w:tcMar>
              <w:left w:w="105" w:type="dxa"/>
              <w:right w:w="105" w:type="dxa"/>
            </w:tcMar>
          </w:tcPr>
          <w:p w14:paraId="6EC227E8" w14:textId="0C86574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Law 2023/009 art. 4–10, 14, 27–33 (mandates and sanctions); UN System White Paper on AI Governance 2024</w:t>
            </w:r>
          </w:p>
        </w:tc>
      </w:tr>
      <w:tr w:rsidR="3B355EBA" w14:paraId="4476D063" w14:textId="77777777" w:rsidTr="78773EE0">
        <w:trPr/>
        <w:tc>
          <w:tcPr>
            <w:tcW w:w="1541" w:type="dxa"/>
            <w:tcMar>
              <w:left w:w="105" w:type="dxa"/>
              <w:right w:w="105" w:type="dxa"/>
            </w:tcMar>
          </w:tcPr>
          <w:p w14:paraId="425CC24B" w14:textId="79C042D1"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D</w:t>
            </w:r>
          </w:p>
        </w:tc>
        <w:tc>
          <w:tcPr>
            <w:tcW w:w="2300" w:type="dxa"/>
            <w:tcMar>
              <w:left w:w="105" w:type="dxa"/>
              <w:right w:w="105" w:type="dxa"/>
            </w:tcMar>
          </w:tcPr>
          <w:p w14:paraId="66179F04" w14:textId="4A3961A6"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Facilitator routes requests between agents (max. 4 per inject) and returns the answers</w:t>
            </w:r>
          </w:p>
        </w:tc>
        <w:tc>
          <w:tcPr>
            <w:tcW w:w="2300" w:type="dxa"/>
            <w:tcMar>
              <w:left w:w="105" w:type="dxa"/>
              <w:right w:w="105" w:type="dxa"/>
            </w:tcMar>
          </w:tcPr>
          <w:p w14:paraId="29CB0D9D" w14:textId="5D1EE61A" w:rsidR="78773EE0" w:rsidRDefault="78773EE0" w:rsidP="78773EE0">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D7 Strategy Alignment; D6 Human Interface</w:t>
            </w:r>
          </w:p>
        </w:tc>
        <w:tc>
          <w:tcPr>
            <w:tcW w:w="3218" w:type="dxa"/>
            <w:tcMar>
              <w:left w:w="105" w:type="dxa"/>
              <w:right w:w="105" w:type="dxa"/>
            </w:tcMar>
          </w:tcPr>
          <w:p w14:paraId="618A4865" w14:textId="490A9EB4"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Y.3172 interfaces; no formal Cameroonian crisis coordination body (identified gap)</w:t>
            </w:r>
          </w:p>
        </w:tc>
      </w:tr>
      <w:tr w:rsidR="3B355EBA" w14:paraId="426E9D91" w14:textId="77777777" w:rsidTr="78773EE0">
        <w:trPr/>
        <w:tc>
          <w:tcPr>
            <w:tcW w:w="1541" w:type="dxa"/>
            <w:tcMar>
              <w:left w:w="105" w:type="dxa"/>
              <w:right w:w="105" w:type="dxa"/>
            </w:tcMar>
          </w:tcPr>
          <w:p w14:paraId="7B2D6950" w14:textId="68DD41C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SINK</w:t>
            </w:r>
          </w:p>
        </w:tc>
        <w:tc>
          <w:tcPr>
            <w:tcW w:w="2300" w:type="dxa"/>
            <w:tcMar>
              <w:left w:w="105" w:type="dxa"/>
              <w:right w:w="105" w:type="dxa"/>
            </w:tcMar>
          </w:tcPr>
          <w:p w14:paraId="18476FC2" w14:textId="05DEDB2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Audit log (JSONL), readable report, self-contained demonstration page, gap table vs EU/UK/US/AU</w:t>
            </w:r>
          </w:p>
        </w:tc>
        <w:tc>
          <w:tcPr>
            <w:tcW w:w="2300" w:type="dxa"/>
            <w:tcMar>
              <w:left w:w="105" w:type="dxa"/>
              <w:right w:w="105" w:type="dxa"/>
            </w:tcMar>
          </w:tcPr>
          <w:p w14:paraId="4005DC09" w14:textId="09414333" w:rsidR="36B56B16" w:rsidRDefault="36B56B16" w:rsidP="78773EE0">
            <w:pPr>
              <w:spacing w:after="0" w:line="240" w:lineRule="auto"/>
            </w:pPr>
            <w:r>
              <w:rPr>
                <w:rFonts w:ascii="Times New Roman" w:hAnsi="Times New Roman" w:eastAsia="Times New Roman"/>
                <w:sz w:val="17"/>
              </w:rPr>
              <w:t>D10 AI &amp; Policies; D11 AI for Inclusion; D12 Granular Priorities (age groups 15 vs 19)</w:t>
            </w:r>
          </w:p>
        </w:tc>
        <w:tc>
          <w:tcPr>
            <w:tcW w:w="3218" w:type="dxa"/>
            <w:tcMar>
              <w:left w:w="105" w:type="dxa"/>
              <w:right w:w="105" w:type="dxa"/>
            </w:tcMar>
          </w:tcPr>
          <w:p w14:paraId="65D1204F" w14:textId="38EEE6E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EU DSA; GDPR (art. 33); UK Online Safety Act 2023; US COPPA Rule; Australian Online Safety Act 2021</w:t>
            </w:r>
          </w:p>
        </w:tc>
      </w:tr>
      <w:tr w:rsidR="3B355EBA" w14:paraId="426E9D91" w14:textId="77777777" w:rsidTr="78773EE0">
        <w:trPr/>
        <w:tc>
          <w:tcPr>
            <w:tcW w:w="1541" w:type="dxa"/>
            <w:tcMar>
              <w:left w:w="105" w:type="dxa"/>
              <w:right w:w="105" w:type="dxa"/>
            </w:tcMar>
          </w:tcPr>
          <w:p w14:paraId="7B2D6950" w14:textId="68DD41C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Sandbox</w:t>
            </w:r>
          </w:p>
        </w:tc>
        <w:tc>
          <w:tcPr>
            <w:tcW w:w="2300" w:type="dxa"/>
            <w:tcMar>
              <w:left w:w="105" w:type="dxa"/>
              <w:right w:w="105" w:type="dxa"/>
            </w:tcMar>
          </w:tcPr>
          <w:p w14:paraId="18476FC2" w14:textId="05DEDB2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The crisis simulation itself: policies are tested with no real-world consequence</w:t>
            </w:r>
          </w:p>
        </w:tc>
        <w:tc>
          <w:tcPr>
            <w:tcW w:w="2300" w:type="dxa"/>
            <w:tcMar>
              <w:left w:w="105" w:type="dxa"/>
              <w:right w:w="105" w:type="dxa"/>
            </w:tcMar>
          </w:tcPr>
          <w:p w14:paraId="4005DC09" w14:textId="09414333" w:rsidR="36B56B16" w:rsidRDefault="36B56B16" w:rsidP="78773EE0">
            <w:pPr>
              <w:spacing w:after="0" w:line="240" w:lineRule="auto"/>
            </w:pPr>
            <w:r>
              <w:rPr>
                <w:rFonts w:ascii="Times New Roman" w:hAnsi="Times New Roman" w:eastAsia="Times New Roman"/>
                <w:sz w:val="17"/>
              </w:rPr>
              <w:t>Sandbox factor; D10 (policy experimentation)</w:t>
            </w:r>
          </w:p>
        </w:tc>
        <w:tc>
          <w:tcPr>
            <w:tcW w:w="3218" w:type="dxa"/>
            <w:tcMar>
              <w:left w:w="105" w:type="dxa"/>
              <w:right w:w="105" w:type="dxa"/>
            </w:tcMar>
          </w:tcPr>
          <w:p w14:paraId="65D1204F" w14:textId="38EEE6E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ITU AI for Good Sandbox; AI Ready Framework 2025</w:t>
            </w:r>
          </w:p>
        </w:tc>
      </w:tr>
    </w:tbl>
    <w:p>
      <w:pPr>
        <w:spacing w:after="60" w:before="100" w:line="240" w:lineRule="auto"/>
        <w:jc w:val="both"/>
      </w:pPr>
      <w:r>
        <w:rPr>
          <w:rFonts w:ascii="Times New Roman" w:hAnsi="Times New Roman" w:eastAsia="Times New Roman"/>
          <w:sz w:val="21"/>
        </w:rPr>
        <w:t xml:space="preserve">Beyond data and model handling, the mapping covers </w:t>
      </w:r>
      <w:r>
        <w:rPr>
          <w:rFonts w:ascii="Times New Roman" w:hAnsi="Times New Roman" w:eastAsia="Times New Roman"/>
          <w:b/>
          <w:sz w:val="21"/>
        </w:rPr>
        <w:t>strategy alignment</w:t>
      </w:r>
      <w:r>
        <w:rPr>
          <w:rFonts w:ascii="Times New Roman" w:hAnsi="Times New Roman" w:eastAsia="Times New Roman"/>
          <w:sz w:val="21"/>
        </w:rPr>
        <w:t xml:space="preserve"> (D7: 13 institutions acting on one shared legal base), </w:t>
      </w:r>
      <w:r>
        <w:rPr>
          <w:rFonts w:ascii="Times New Roman" w:hAnsi="Times New Roman" w:eastAsia="Times New Roman"/>
          <w:b/>
          <w:sz w:val="21"/>
        </w:rPr>
        <w:t>human interface</w:t>
      </w:r>
      <w:r>
        <w:rPr>
          <w:rFonts w:ascii="Times New Roman" w:hAnsi="Times New Roman" w:eastAsia="Times New Roman"/>
          <w:sz w:val="21"/>
        </w:rPr>
        <w:t xml:space="preserve"> (D6: a single-file demonstration page where each decision opens the exact article it relies on), </w:t>
      </w:r>
      <w:r>
        <w:rPr>
          <w:rFonts w:ascii="Times New Roman" w:hAnsi="Times New Roman" w:eastAsia="Times New Roman"/>
          <w:b/>
          <w:sz w:val="21"/>
        </w:rPr>
        <w:t>collaboration between AI and humans</w:t>
      </w:r>
      <w:r>
        <w:rPr>
          <w:rFonts w:ascii="Times New Roman" w:hAnsi="Times New Roman" w:eastAsia="Times New Roman"/>
          <w:sz w:val="21"/>
        </w:rPr>
        <w:t xml:space="preserve"> (D8: agents state their confidence and their gaps; humans decide), and </w:t>
      </w:r>
      <w:r>
        <w:rPr>
          <w:rFonts w:ascii="Times New Roman" w:hAnsi="Times New Roman" w:eastAsia="Times New Roman"/>
          <w:b/>
          <w:sz w:val="21"/>
        </w:rPr>
        <w:t>inclusion</w:t>
      </w:r>
      <w:r>
        <w:rPr>
          <w:rFonts w:ascii="Times New Roman" w:hAnsi="Times New Roman" w:eastAsia="Times New Roman"/>
          <w:sz w:val="21"/>
        </w:rPr>
        <w:t xml:space="preserve"> (D11: French-language legal corpus, free open-weight models, runs without a GPU).</w:t>
      </w:r>
    </w:p>
    <w:p w14:paraId="75A0750C" w14:textId="02951926" w:rsidR="109E7504" w:rsidRDefault="2D10F3D1"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Error scenarios</w:t>
      </w:r>
    </w:p>
    <w:p>
      <w:pPr>
        <w:spacing w:after="60" w:before="0" w:line="240" w:lineRule="auto"/>
        <w:jc w:val="both"/>
      </w:pPr>
      <w:r>
        <w:rPr>
          <w:rFonts w:ascii="Times New Roman" w:hAnsi="Times New Roman" w:eastAsia="Times New Roman"/>
          <w:b/>
          <w:sz w:val="21"/>
        </w:rPr>
        <w:t>Reference run (5 injects, 56 agent interventions, 20 routed requests).</w:t>
      </w:r>
      <w:r>
        <w:rPr>
          <w:rFonts w:ascii="Times New Roman" w:hAnsi="Times New Roman" w:eastAsia="Times New Roman"/>
          <w:sz w:val="21"/>
        </w:rPr>
        <w:t xml:space="preserve"> 124 legal claims were checked automatically: </w:t>
      </w:r>
      <w:r>
        <w:rPr>
          <w:rFonts w:ascii="Times New Roman" w:hAnsi="Times New Roman" w:eastAsia="Times New Roman"/>
          <w:b/>
          <w:sz w:val="21"/>
        </w:rPr>
        <w:t>109 supported (87.9%)</w:t>
      </w:r>
      <w:r>
        <w:rPr>
          <w:rFonts w:ascii="Times New Roman" w:hAnsi="Times New Roman" w:eastAsia="Times New Roman"/>
          <w:sz w:val="21"/>
        </w:rPr>
        <w:t>, 12 without citation (mostly practical actions such as preserving evidence; two agents explicitly stated that no extract authorised the requested action), 2 doubtful and 1 invalid. The advisor judged 22 actions (10 founded, 6 to be verified, 6 unfounded) and identified 10 gaps, each compared with at least one foreign jurisdiction. The full log and report are published with the code.</w:t>
      </w:r>
    </w:p>
    <w:p>
      <w:pPr>
        <w:spacing w:after="60" w:before="0" w:line="240" w:lineRule="auto"/>
        <w:jc w:val="both"/>
      </w:pPr>
      <w:r>
        <w:rPr>
          <w:rFonts w:ascii="Times New Roman" w:hAnsi="Times New Roman" w:eastAsia="Times New Roman"/>
          <w:b/>
          <w:sz w:val="21"/>
        </w:rPr>
        <w:t>How the injects were handled.</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1, early signal.</w:t>
      </w:r>
      <w:r>
        <w:rPr>
          <w:rFonts w:ascii="Times New Roman" w:hAnsi="Times New Roman" w:eastAsia="Times New Roman"/>
          <w:sz w:val="21"/>
        </w:rPr>
        <w:t xml:space="preserve"> MinorShield reported aggregated trends to ANTIC. The advisor found no legal procedure or alert threshold for a private child-safety tool to share data with the authorities.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2, victims and school exclusion.</w:t>
      </w:r>
      <w:r>
        <w:rPr>
          <w:rFonts w:ascii="Times New Roman" w:hAnsi="Times New Roman" w:eastAsia="Times New Roman"/>
          <w:sz w:val="21"/>
        </w:rPr>
        <w:t xml:space="preserve"> MINAS and MINPROFF asked the school not to exclude the 15-year-old victim; the police qualified the offence under the cybersecurity law. </w:t>
      </w:r>
      <w:r>
        <w:rPr>
          <w:rFonts w:ascii="Times New Roman" w:hAnsi="Times New Roman" w:eastAsia="Times New Roman"/>
          <w:b/>
          <w:sz w:val="21"/>
        </w:rPr>
        <w:t>Missed:</w:t>
      </w:r>
      <w:r>
        <w:rPr>
          <w:rFonts w:ascii="Times New Roman" w:hAnsi="Times New Roman" w:eastAsia="Times New Roman"/>
          <w:sz w:val="21"/>
        </w:rPr>
        <w:t xml:space="preserve"> all agents treated the 19-year-old as a minor, although Law 2023/009 (art. 3) defines a child as a person under 18; she falls outside the Charter while still a legal minor under civil law (majority at 21).</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3, foreign platform.</w:t>
      </w:r>
      <w:r>
        <w:rPr>
          <w:rFonts w:ascii="Times New Roman" w:hAnsi="Times New Roman" w:eastAsia="Times New Roman"/>
          <w:sz w:val="21"/>
        </w:rPr>
        <w:t xml:space="preserve"> Agents relied on art. 14 (suspension of a user at the request of the authorities), and ANTIC planned a formal notice under art. 27–28. The advisor noted the absence of removal deadlines for foreign platforms, but </w:t>
      </w:r>
      <w:r>
        <w:rPr>
          <w:rFonts w:ascii="Times New Roman" w:hAnsi="Times New Roman" w:eastAsia="Times New Roman"/>
          <w:b/>
          <w:sz w:val="21"/>
        </w:rPr>
        <w:t>no agent noticed</w:t>
      </w:r>
      <w:r>
        <w:rPr>
          <w:rFonts w:ascii="Times New Roman" w:hAnsi="Times New Roman" w:eastAsia="Times New Roman"/>
          <w:sz w:val="21"/>
        </w:rPr>
        <w:t xml:space="preserve"> that the art. 28 notice period, 15 days, is far too long for viral content.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4, data leak.</w:t>
      </w:r>
      <w:r>
        <w:rPr>
          <w:rFonts w:ascii="Times New Roman" w:hAnsi="Times New Roman" w:eastAsia="Times New Roman"/>
          <w:sz w:val="21"/>
        </w:rPr>
        <w:t xml:space="preserve"> Agents concluded that no breach-notification procedure exists. In reality the data protection law (No. 2024/017) exists but its full text is not available online and therefore not in the knowledge base: a </w:t>
      </w:r>
      <w:r>
        <w:rPr>
          <w:rFonts w:ascii="Times New Roman" w:hAnsi="Times New Roman" w:eastAsia="Times New Roman"/>
          <w:b/>
          <w:sz w:val="21"/>
        </w:rPr>
        <w:t>gap in the knowledge base was read as a gap in the law</w:t>
      </w:r>
      <w:r>
        <w:rPr>
          <w:rFonts w:ascii="Times New Roman" w:hAnsi="Times New Roman" w:eastAsia="Times New Roman"/>
          <w:sz w:val="21"/>
        </w:rPr>
        <w: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5, controversy: blocking the platform nationwide.</w:t>
      </w:r>
      <w:r>
        <w:rPr>
          <w:rFonts w:ascii="Times New Roman" w:hAnsi="Times New Roman" w:eastAsia="Times New Roman"/>
          <w:sz w:val="21"/>
        </w:rPr>
        <w:t xml:space="preserve"> The advisor found no legal basis for blocking a whole platform and recommended creating that power. Only the platform agent raised proportionality. Our answer to the controversy: the system never decides; it produces the material for a human deliberation, which must weigh freedom of expression and economic impact, and favour targeted measures (art. 14 user suspension, removal of specific content) under judicial control before any general block.</w:t>
      </w:r>
    </w:p>
    <w:p>
      <w:pPr>
        <w:spacing w:after="60" w:before="0" w:line="240" w:lineRule="auto"/>
        <w:jc w:val="both"/>
      </w:pPr>
      <w:r>
        <w:rPr>
          <w:rFonts w:ascii="Times New Roman" w:hAnsi="Times New Roman" w:eastAsia="Times New Roman"/>
          <w:b/>
          <w:sz w:val="21"/>
        </w:rPr>
        <w:t>AI errors caught, and not caught.</w:t>
      </w:r>
      <w:r>
        <w:rPr>
          <w:rFonts w:ascii="Times New Roman" w:hAnsi="Times New Roman" w:eastAsia="Times New Roman"/>
          <w:sz w:val="21"/>
        </w:rPr>
        <w:t xml:space="preserve"> The verifier flagged an invented extract ID and a US state law (CCPA) cited although it is not in the base. It cannot detect a correct citation used to support a wrong claim: the advisor attributed “financial transparency” duties to COPPA and overstated the Australian blocking powers. Against the 10 gaps we wrote into the scenario beforehand, the run found 5 fully, 3 partially and missed 2. These measures make the limits visible, which is why a human legal review remains mandatory.</w:t>
      </w:r>
    </w:p>
    <w:p w14:paraId="0E1E4AA8" w14:textId="0E0EF499" w:rsidR="3B355EBA" w:rsidRDefault="1A8D7764"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Policy gaps and standards gaps derived from the mapping exercise</w:t>
      </w:r>
    </w:p>
    <w:p>
      <w:pPr>
        <w:spacing w:after="60" w:before="0" w:line="240" w:lineRule="auto"/>
        <w:jc w:val="both"/>
      </w:pPr>
      <w:r>
        <w:rPr>
          <w:rFonts w:ascii="Times New Roman" w:hAnsi="Times New Roman" w:eastAsia="Times New Roman"/>
          <w:b/>
          <w:sz w:val="21"/>
        </w:rPr>
        <w:t>Policy gaps (Cameroon) compared with global practice: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Reporting by private actors:</w:t>
      </w:r>
      <w:r>
        <w:rPr>
          <w:rFonts w:ascii="Times New Roman" w:hAnsi="Times New Roman" w:eastAsia="Times New Roman"/>
          <w:sz w:val="21"/>
        </w:rPr>
        <w:t xml:space="preserve"> Law 2023/009 obliges internet access providers to report content harmful to children to the authorities (art. 33, fines of 25 to 250 million FCFA), but sets no channel or alert threshold for a third-party child-safety tool or for aggregated, anonymised signals. The UK Online Safety Act 2023 requires providers to report child sexual exploitation and abuse content to the National Crime Agency.</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Removal speed:</w:t>
      </w:r>
      <w:r>
        <w:rPr>
          <w:rFonts w:ascii="Times New Roman" w:hAnsi="Times New Roman" w:eastAsia="Times New Roman"/>
          <w:sz w:val="21"/>
        </w:rPr>
        <w:t xml:space="preserve"> a 15-day formal notice (Law 2023/009, art. 28), against 24 hours under the removal notices of the Australian Online Safety Act 2021.</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Foreign platforms:</w:t>
      </w:r>
      <w:r>
        <w:rPr>
          <w:rFonts w:ascii="Times New Roman" w:hAnsi="Times New Roman" w:eastAsia="Times New Roman"/>
          <w:sz w:val="21"/>
        </w:rPr>
        <w:t xml:space="preserve"> limited extraterritorial reach. The EU Digital Services Act applies to services offered to EU users wherever the provider is established and requires a legal representative in the EU.</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Data breaches involving children:</w:t>
      </w:r>
      <w:r>
        <w:rPr>
          <w:rFonts w:ascii="Times New Roman" w:hAnsi="Times New Roman" w:eastAsia="Times New Roman"/>
          <w:sz w:val="21"/>
        </w:rPr>
        <w:t xml:space="preserve"> no accessible notification procedure, against 72 hours under GDPR art. 33; the data protection authority has existed only since June 2026.</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Age threshold:</w:t>
      </w:r>
      <w:r>
        <w:rPr>
          <w:rFonts w:ascii="Times New Roman" w:hAnsi="Times New Roman" w:eastAsia="Times New Roman"/>
          <w:sz w:val="21"/>
        </w:rPr>
        <w:t xml:space="preserve"> victims aged 18 to 20 are outside the Charter although they are civil minors.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Mandates and coordination:</w:t>
      </w:r>
      <w:r>
        <w:rPr>
          <w:rFonts w:ascii="Times New Roman" w:hAnsi="Times New Roman" w:eastAsia="Times New Roman"/>
          <w:sz w:val="21"/>
        </w:rPr>
        <w:t xml:space="preserve"> overlapping missions of MINAS and MINPROFF, no school directive for victims, and no formal inter-agency crisis coordination body; the facilitator had to be neutral for this reason.</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Platform blocking:</w:t>
      </w:r>
      <w:r>
        <w:rPr>
          <w:rFonts w:ascii="Times New Roman" w:hAnsi="Times New Roman" w:eastAsia="Times New Roman"/>
          <w:sz w:val="21"/>
        </w:rPr>
        <w:t xml:space="preserve"> no legal framework, hence no proportionality safeguards, for measures beyond targeted suspension.</w:t>
      </w:r>
    </w:p>
    <w:p>
      <w:pPr>
        <w:spacing w:after="60" w:before="0" w:line="240" w:lineRule="auto"/>
        <w:jc w:val="both"/>
      </w:pPr>
      <w:r>
        <w:rPr>
          <w:rFonts w:ascii="Times New Roman" w:hAnsi="Times New Roman" w:eastAsia="Times New Roman"/>
          <w:b/>
          <w:sz w:val="21"/>
        </w:rPr>
        <w:t>Standards gaps: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Machine-readable law.</w:t>
      </w:r>
      <w:r>
        <w:rPr>
          <w:rFonts w:ascii="Times New Roman" w:hAnsi="Times New Roman" w:eastAsia="Times New Roman"/>
          <w:sz w:val="21"/>
        </w:rPr>
        <w:t xml:space="preserve"> Cameroonian texts exist only as PDF compilations, without a consolidated, article-level open format (such as Akoma Ntoso); every legal knowledge base must be rebuilt by hand.</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Auditing AI legal reasoning.</w:t>
      </w:r>
      <w:r>
        <w:rPr>
          <w:rFonts w:ascii="Times New Roman" w:hAnsi="Times New Roman" w:eastAsia="Times New Roman"/>
          <w:sz w:val="21"/>
        </w:rPr>
        <w:t xml:space="preserve"> Y.3172 has no node for checking that an output is grounded in its sources. We propose adding a verification step between the ML function and the sink, using the four citation statuses above and two metrics: the citation support rate and the recall of expected gaps.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Content fidelity.</w:t>
      </w:r>
      <w:r>
        <w:rPr>
          <w:rFonts w:ascii="Times New Roman" w:hAnsi="Times New Roman" w:eastAsia="Times New Roman"/>
          <w:sz w:val="21"/>
        </w:rPr>
        <w:t xml:space="preserve"> No automatic check yet verifies that a cited article really says what the agent claims; a standard human-review protocol for AI policy sandboxes is needed.</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Reference corpus quality.</w:t>
      </w:r>
      <w:r>
        <w:rPr>
          <w:rFonts w:ascii="Times New Roman" w:hAnsi="Times New Roman" w:eastAsia="Times New Roman"/>
          <w:sz w:val="21"/>
        </w:rPr>
        <w:t xml:space="preserve"> Two PDFs in the ITU reference repository are truncated (Kenya strategy, China framework), and 20 of 67 documents were tagged with the wrong country; both were corrected and documented in our repository.</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Meng, Jiaying</dc:creator>
  <cp:keywords/>
  <dc:description/>
  <cp:lastModifiedBy>Meng, Jiaying</cp:lastModifiedBy>
  <cp:revision>2</cp:revision>
  <dcterms:created xsi:type="dcterms:W3CDTF">2026-09-03T09:11:00Z</dcterms:created>
  <dcterms:modified xsi:type="dcterms:W3CDTF">2026-09-24T12:00:00Z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