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1F3A5F"/>
          <w:sz w:val="36"/>
        </w:rPr>
        <w:t>MinorShield Policy Lab — Script de la vidéo de démonstration</w:t>
      </w:r>
    </w:p>
    <w:p>
      <w:pPr>
        <w:spacing w:after="160"/>
      </w:pPr>
      <w:r>
        <w:rPr>
          <w:b w:val="0"/>
          <w:i/>
          <w:color w:val="555555"/>
          <w:sz w:val="20"/>
        </w:rPr>
        <w:t>Durée : 6 min 55 au maximum (limite du hackathon : 7 minutes) · 12 scènes · environ 770 mots de narration</w:t>
      </w:r>
    </w:p>
    <w:p>
      <w:pPr>
        <w:spacing w:after="60"/>
      </w:pPr>
      <w:r>
        <w:rPr>
          <w:b/>
          <w:i w:val="0"/>
          <w:color w:val="1F3A5F"/>
          <w:sz w:val="26"/>
        </w:rPr>
        <w:t>Avant d'enregistrer</w:t>
      </w:r>
    </w:p>
    <w:p>
      <w:pPr>
        <w:pStyle w:val="ListBullet"/>
      </w:pPr>
      <w:r>
        <w:rPr>
          <w:sz w:val="20"/>
        </w:rPr>
        <w:t>Ouvrir à l'avance : la page de démonstration (docs/exemple_simulation/demo.html) dans le navigateur ; le rapport technique (Word) sur la Figure 1 ; VS Code sur le dossier du projet ; un terminal dans le dossier du projet avec l'environnement activé.</w:t>
      </w:r>
    </w:p>
    <w:p>
      <w:pPr>
        <w:pStyle w:val="ListBullet"/>
      </w:pPr>
      <w:r>
        <w:rPr>
          <w:sz w:val="20"/>
        </w:rPr>
        <w:t>La vidéo complète a déjà été produite automatiquement (docs/video/MinorShield_Policy_Lab_demo.mp4) ; ce script sert si tu veux la refaire avec ta propre voix.</w:t>
      </w:r>
    </w:p>
    <w:p>
      <w:pPr>
        <w:pStyle w:val="ListBullet"/>
      </w:pPr>
      <w:r>
        <w:rPr>
          <w:sz w:val="20"/>
        </w:rPr>
        <w:t>Navigateur : zoom à 125 % pour que le texte soit lisible en vidéo ; fermer les autres onglets et les notifications (mode « Ne pas déranger » / Assistant de concentration).</w:t>
      </w:r>
    </w:p>
    <w:p>
      <w:pPr>
        <w:pStyle w:val="ListBullet"/>
      </w:pPr>
      <w:r>
        <w:rPr>
          <w:sz w:val="20"/>
        </w:rPr>
        <w:t>VS Code et terminal : augmenter la taille de police (Ctrl + +).</w:t>
      </w:r>
    </w:p>
    <w:p>
      <w:pPr>
        <w:pStyle w:val="ListBullet"/>
      </w:pPr>
      <w:r>
        <w:rPr>
          <w:sz w:val="20"/>
        </w:rPr>
        <w:t>Ne jamais montrer le fichier .env (il contient la clé Groq).</w:t>
      </w:r>
    </w:p>
    <w:p>
      <w:pPr>
        <w:pStyle w:val="ListBullet"/>
      </w:pPr>
      <w:r>
        <w:rPr>
          <w:sz w:val="20"/>
        </w:rPr>
        <w:t>Micro : pièce calme ; lire le texte une fois à voix haute avant d'enregistrer ; parler lentement.</w:t>
      </w:r>
    </w:p>
    <w:p>
      <w:pPr>
        <w:spacing w:after="60"/>
      </w:pPr>
      <w:r>
        <w:rPr>
          <w:b/>
          <w:i w:val="0"/>
          <w:color w:val="1F3A5F"/>
          <w:sz w:val="26"/>
        </w:rPr>
        <w:t>Enregistrement et montage</w:t>
      </w:r>
    </w:p>
    <w:p>
      <w:pPr>
        <w:pStyle w:val="ListBullet"/>
      </w:pPr>
      <w:r>
        <w:rPr>
          <w:sz w:val="20"/>
        </w:rPr>
        <w:t>Enregistrement : PowerPoint › Insertion › Enregistrement de l'écran (choisir la zone, cocher Audio). Enregistrer scène par scène : une erreur ne coûte qu'une scène.</w:t>
      </w:r>
    </w:p>
    <w:p>
      <w:pPr>
        <w:pStyle w:val="ListBullet"/>
      </w:pPr>
      <w:r>
        <w:rPr>
          <w:sz w:val="20"/>
        </w:rPr>
        <w:t>Montage : assembler les morceaux dans PowerPoint (une diapositive par morceau, puis Fichier › Exporter › Créer une vidéo) ou dans Clipchamp (gratuit, Microsoft Store). Accélérer la scène 4 si la simulation est longue.</w:t>
      </w:r>
    </w:p>
    <w:p>
      <w:pPr>
        <w:pStyle w:val="ListBullet"/>
      </w:pPr>
      <w:r>
        <w:rPr>
          <w:sz w:val="20"/>
        </w:rPr>
        <w:t>Durée cible : 6 min 30 à 6 min 55. Limite absolue : 7 minutes.</w:t>
      </w:r>
    </w:p>
    <w:p>
      <w:pPr>
        <w:pStyle w:val="ListBullet"/>
      </w:pPr>
      <w:r>
        <w:rPr>
          <w:sz w:val="20"/>
        </w:rPr>
        <w:t>Langue : narration en anglais (le jury de l'UIT). Si tu préfères parler en français, lis la colonne française et ajoute des sous-titres en anglais (colonne de gauche) ; les deux colonnes disent exactement la même chose.</w:t>
      </w:r>
    </w:p>
    <w:p>
      <w:r>
        <w:br w:type="page"/>
      </w:r>
    </w:p>
    <w:p>
      <w:pPr>
        <w:spacing w:after="60"/>
      </w:pPr>
      <w:r>
        <w:rPr>
          <w:b/>
          <w:i w:val="0"/>
          <w:color w:val="1F3A5F"/>
          <w:sz w:val="26"/>
        </w:rPr>
        <w:t>Le script, scène par scène</w:t>
      </w:r>
    </w:p>
    <w:tbl>
      <w:tblPr>
        <w:tblStyle w:val="TableGrid"/>
        <w:tblW w:type="auto" w:w="0"/>
        <w:jc w:val="center"/>
        <w:tblLook w:firstColumn="1" w:firstRow="1" w:lastColumn="0" w:lastRow="0" w:noHBand="0" w:noVBand="1" w:val="04A0"/>
      </w:tblPr>
      <w:tblGrid>
        <w:gridCol w:w="3756"/>
        <w:gridCol w:w="3756"/>
        <w:gridCol w:w="3756"/>
        <w:gridCol w:w="3756"/>
      </w:tblGrid>
      <w:tr>
        <w:trPr>
          <w:tblHeader w:val="true"/>
        </w:trPr>
        <w:tc>
          <w:tcPr>
            <w:tcW w:type="dxa" w:w="1474"/>
            <w:shd w:val="clear" w:color="auto" w:fill="1F3A5F"/>
          </w:tcPr>
          <w:p>
            <w:r/>
            <w:r>
              <w:rPr>
                <w:b/>
                <w:color w:val="FFFFFF"/>
                <w:sz w:val="20"/>
              </w:rPr>
              <w:t>Temps</w:t>
            </w:r>
          </w:p>
        </w:tc>
        <w:tc>
          <w:tcPr>
            <w:tcW w:type="dxa" w:w="3628"/>
            <w:shd w:val="clear" w:color="auto" w:fill="1F3A5F"/>
          </w:tcPr>
          <w:p>
            <w:r/>
            <w:r>
              <w:rPr>
                <w:b/>
                <w:color w:val="FFFFFF"/>
                <w:sz w:val="20"/>
              </w:rPr>
              <w:t>À l'écran</w:t>
            </w:r>
          </w:p>
        </w:tc>
        <w:tc>
          <w:tcPr>
            <w:tcW w:type="dxa" w:w="5102"/>
            <w:shd w:val="clear" w:color="auto" w:fill="1F3A5F"/>
          </w:tcPr>
          <w:p>
            <w:r/>
            <w:r>
              <w:rPr>
                <w:b/>
                <w:color w:val="FFFFFF"/>
                <w:sz w:val="20"/>
              </w:rPr>
              <w:t>Narration à lire (anglais)</w:t>
            </w:r>
          </w:p>
        </w:tc>
        <w:tc>
          <w:tcPr>
            <w:tcW w:type="dxa" w:w="4819"/>
            <w:shd w:val="clear" w:color="auto" w:fill="1F3A5F"/>
          </w:tcPr>
          <w:p>
            <w:r/>
            <w:r>
              <w:rPr>
                <w:b/>
                <w:color w:val="FFFFFF"/>
                <w:sz w:val="20"/>
              </w:rPr>
              <w:t>Traduction (français)</w:t>
            </w:r>
          </w:p>
        </w:tc>
      </w:tr>
      <w:tr>
        <w:trPr>
          <w:cantSplit/>
        </w:trPr>
        <w:tc>
          <w:tcPr>
            <w:tcW w:type="dxa" w:w="1474"/>
          </w:tcPr>
          <w:p>
            <w:r>
              <w:rPr>
                <w:b/>
              </w:rPr>
              <w:t>0:00 – 0:35</w:t>
            </w:r>
          </w:p>
          <w:p>
            <w:r>
              <w:rPr>
                <w:color w:val="1F3A5F"/>
                <w:sz w:val="18"/>
              </w:rPr>
              <w:t>1. L'accroche</w:t>
            </w:r>
          </w:p>
        </w:tc>
        <w:tc>
          <w:tcPr>
            <w:tcW w:type="dxa" w:w="3628"/>
          </w:tcPr>
          <w:p>
            <w:r>
              <w:rPr>
                <w:i/>
                <w:sz w:val="18"/>
              </w:rPr>
              <w:t>Page de démonstration, tout en haut (titre « Opération Miroir »). Défiler lentement vers le bas pendant la lecture.</w:t>
            </w:r>
          </w:p>
        </w:tc>
        <w:tc>
          <w:tcPr>
            <w:tcW w:type="dxa" w:w="5102"/>
          </w:tcPr>
          <w:p>
            <w:r>
              <w:rPr>
                <w:sz w:val="21"/>
              </w:rPr>
              <w:t>Monday, 8 a.m. A parental-control app sees blocked content on children's phones jump by 400 percent in Douala and Yaoundé. By the afternoon, two students are being blackmailed with intimate photos. By Tuesday, the images are on a foreign platform, and the scammers got the girls' numbers from a leaked school app. Who acts? Under which law? Within what deadline? Cameroon adopted a Child Online Protection Charter in 2023, but it has never been tested in a crisis like this. MinorShield Policy Lab tests it, before the crisis happens.</w:t>
            </w:r>
          </w:p>
        </w:tc>
        <w:tc>
          <w:tcPr>
            <w:tcW w:type="dxa" w:w="4819"/>
          </w:tcPr>
          <w:p>
            <w:r>
              <w:rPr>
                <w:color w:val="444444"/>
                <w:sz w:val="19"/>
              </w:rPr>
              <w:t>Lundi, 8 h. Une application de contrôle parental voit les contenus bloqués sur les téléphones d'enfants augmenter de 400 % à Douala et Yaoundé. L'après-midi, deux élèves subissent un chantage aux photos intimes. Mardi, les images sont sur une plateforme étrangère, et les escrocs ont eu les numéros des filles grâce à une fuite d'une application scolaire. Qui agit ? Selon quelle loi ? Dans quel délai ? Le Cameroun a adopté une Charte de protection des enfants en ligne en 2023, mais elle n'a jamais été testée dans une telle crise. MinorShield Policy Lab la teste, avant que la crise n'arrive.</w:t>
            </w:r>
          </w:p>
        </w:tc>
      </w:tr>
      <w:tr>
        <w:trPr>
          <w:cantSplit/>
        </w:trPr>
        <w:tc>
          <w:tcPr>
            <w:tcW w:type="dxa" w:w="1474"/>
            <w:shd w:val="clear" w:color="auto" w:fill="F2F5F9"/>
          </w:tcPr>
          <w:p>
            <w:r>
              <w:rPr>
                <w:b/>
              </w:rPr>
              <w:t>0:35 – 1:15</w:t>
            </w:r>
          </w:p>
          <w:p>
            <w:r>
              <w:rPr>
                <w:color w:val="1F3A5F"/>
                <w:sz w:val="18"/>
              </w:rPr>
              <w:t>2. Le principe et l'architecture</w:t>
            </w:r>
          </w:p>
        </w:tc>
        <w:tc>
          <w:tcPr>
            <w:tcW w:type="dxa" w:w="3628"/>
            <w:shd w:val="clear" w:color="auto" w:fill="F2F5F9"/>
          </w:tcPr>
          <w:p>
            <w:r>
              <w:rPr>
                <w:i/>
                <w:sz w:val="18"/>
              </w:rPr>
              <w:t>Schéma de l'architecture (Figure 1 du rapport technique, ouvert dans Word, zoomé). Pointer chaque case avec la souris quand elle est nommée.</w:t>
            </w:r>
          </w:p>
        </w:tc>
        <w:tc>
          <w:tcPr>
            <w:tcW w:type="dxa" w:w="5102"/>
            <w:shd w:val="clear" w:color="auto" w:fill="F2F5F9"/>
          </w:tcPr>
          <w:p>
            <w:r>
              <w:rPr>
                <w:sz w:val="21"/>
              </w:rPr>
              <w:t>MinorShield Policy Lab is a multi-agent policy sandbox. Thirteen AI agents each play a real actor: the national ICT agency ANTIC, the telecom regulator, four ministries, the data protection authority, the police, the prosecutor, the telecom operators, a foreign platform, a school software company, and our own app, MinorShield. A legal advisor agent reviews every step, and a neutral facilitator only passes messages. The pipeline follows ITU-T Y.3172: legal sources, preprocessing, the agents as the machine-learning function, and an output that humans read. We added one node the standard does not have: verification.</w:t>
            </w:r>
          </w:p>
        </w:tc>
        <w:tc>
          <w:tcPr>
            <w:tcW w:type="dxa" w:w="4819"/>
            <w:shd w:val="clear" w:color="auto" w:fill="F2F5F9"/>
          </w:tcPr>
          <w:p>
            <w:r>
              <w:rPr>
                <w:color w:val="444444"/>
                <w:sz w:val="19"/>
              </w:rPr>
              <w:t>MinorShield Policy Lab est un bac à sable de politiques publiques multi-agents. Treize agents IA jouent chacun un acteur réel : l'ANTIC, le régulateur des télécoms, quatre ministères, l'autorité de protection des données, la police, le parquet, les opérateurs, une plateforme étrangère, un éditeur de logiciel scolaire et notre propre application, MinorShield. Un agent conseiller juridique examine chaque étape, et un animateur neutre ne fait que transmettre les messages. Le pipeline suit la norme UIT-T Y.3172 : sources juridiques, prétraitement, les agents comme fonction d'apprentissage automatique, et une sortie lue par des humains. Nous avons ajouté un nœud que la norme n'a pas : la vérification.</w:t>
            </w:r>
          </w:p>
        </w:tc>
      </w:tr>
      <w:tr>
        <w:trPr>
          <w:cantSplit/>
        </w:trPr>
        <w:tc>
          <w:tcPr>
            <w:tcW w:type="dxa" w:w="1474"/>
          </w:tcPr>
          <w:p>
            <w:r>
              <w:rPr>
                <w:b/>
              </w:rPr>
              <w:t>1:15 – 1:55</w:t>
            </w:r>
          </w:p>
          <w:p>
            <w:r>
              <w:rPr>
                <w:color w:val="1F3A5F"/>
                <w:sz w:val="18"/>
              </w:rPr>
              <w:t>3. La base de connaissances</w:t>
            </w:r>
          </w:p>
        </w:tc>
        <w:tc>
          <w:tcPr>
            <w:tcW w:type="dxa" w:w="3628"/>
          </w:tcPr>
          <w:p>
            <w:r>
              <w:rPr>
                <w:i/>
                <w:sz w:val="18"/>
              </w:rPr>
              <w:t>VS Code : ouvrir le dossier server/knowledge/InputDocs/Child_Online_Protection (montrer la liste des fichiers), puis le fichier de la loi 2023/009 sur l'article 10 (montrer le marqueur [PAGE 225]), puis docs/SOURCES.md.</w:t>
            </w:r>
          </w:p>
        </w:tc>
        <w:tc>
          <w:tcPr>
            <w:tcW w:type="dxa" w:w="5102"/>
          </w:tcPr>
          <w:p>
            <w:r>
              <w:rPr>
                <w:sz w:val="21"/>
              </w:rPr>
              <w:t>Everything rests on a knowledge base of real law: eleven official Cameroonian texts from the telecom regulator's 2023 compendium; five foreign references, the EU Digital Services Act and GDPR, the UK and Australian Online Safety Acts, and the US COPPA Rule; and the sixty-four documents provided by ITU. We split the laws article by article, with their page number, so that every extract can be cited. The origin of every file is documented.</w:t>
            </w:r>
          </w:p>
        </w:tc>
        <w:tc>
          <w:tcPr>
            <w:tcW w:type="dxa" w:w="4819"/>
          </w:tcPr>
          <w:p>
            <w:r>
              <w:rPr>
                <w:color w:val="444444"/>
                <w:sz w:val="19"/>
              </w:rPr>
              <w:t>Tout repose sur une base de connaissances de vrais textes de loi : onze textes camerounais officiels tirés du recueil 2023 du régulateur des télécoms ; cinq références étrangères, le Digital Services Act et le RGPD de l'UE, les Online Safety Acts britannique et australien, et la règle COPPA américaine ; et les soixante-quatre documents fournis par l'UIT. Nous avons découpé les lois article par article, avec leur numéro de page, pour que chaque extrait soit citable. L'origine de chaque fichier est documentée.</w:t>
            </w:r>
          </w:p>
        </w:tc>
      </w:tr>
      <w:tr>
        <w:trPr>
          <w:cantSplit/>
        </w:trPr>
        <w:tc>
          <w:tcPr>
            <w:tcW w:type="dxa" w:w="1474"/>
            <w:shd w:val="clear" w:color="auto" w:fill="F2F5F9"/>
          </w:tcPr>
          <w:p>
            <w:r>
              <w:rPr>
                <w:b/>
              </w:rPr>
              <w:t>1:55 – 2:35</w:t>
            </w:r>
          </w:p>
          <w:p>
            <w:r>
              <w:rPr>
                <w:color w:val="1F3A5F"/>
                <w:sz w:val="18"/>
              </w:rPr>
              <w:t>4. Une simulation</w:t>
            </w:r>
          </w:p>
        </w:tc>
        <w:tc>
          <w:tcPr>
            <w:tcW w:type="dxa" w:w="3628"/>
            <w:shd w:val="clear" w:color="auto" w:fill="F2F5F9"/>
          </w:tcPr>
          <w:p>
            <w:r>
              <w:rPr>
                <w:i/>
                <w:sz w:val="18"/>
              </w:rPr>
              <w:t>Terminal : la sortie réelle de la simulation de référence (fichier reference_out.txt), avec un défilement lent. Les marques OK / ~~ / ?? / XX sont le contrôle des citations.</w:t>
            </w:r>
          </w:p>
        </w:tc>
        <w:tc>
          <w:tcPr>
            <w:tcW w:type="dxa" w:w="5102"/>
            <w:shd w:val="clear" w:color="auto" w:fill="F2F5F9"/>
          </w:tcPr>
          <w:p>
            <w:r>
              <w:rPr>
                <w:sz w:val="21"/>
              </w:rPr>
              <w:t>This is the console of the full reference run. Each agent only sees what has been revealed to it. It searches the law, then answers in a fixed structure: its assessment, its actions, the legal basis for each action, its requests to other agents, and what the law does not allow it to do. The marks you see are the automatic citation check, applied to every single claim.</w:t>
            </w:r>
          </w:p>
        </w:tc>
        <w:tc>
          <w:tcPr>
            <w:tcW w:type="dxa" w:w="4819"/>
            <w:shd w:val="clear" w:color="auto" w:fill="F2F5F9"/>
          </w:tcPr>
          <w:p>
            <w:r>
              <w:rPr>
                <w:color w:val="444444"/>
                <w:sz w:val="19"/>
              </w:rPr>
              <w:t>Voici la console de la simulation de référence complète. Chaque agent ne voit que ce qui lui a été révélé. Il cherche dans la loi, puis répond selon une structure fixe : son évaluation, ses actions, la base légale de chaque action, ses demandes aux autres agents, et ce que la loi ne lui permet pas de faire. Les marques que vous voyez sont le contrôle automatique des citations, appliqué à chaque affirmation.</w:t>
            </w:r>
          </w:p>
        </w:tc>
      </w:tr>
      <w:tr>
        <w:trPr>
          <w:cantSplit/>
        </w:trPr>
        <w:tc>
          <w:tcPr>
            <w:tcW w:type="dxa" w:w="1474"/>
          </w:tcPr>
          <w:p>
            <w:r>
              <w:rPr>
                <w:b/>
              </w:rPr>
              <w:t>2:35 – 3:05</w:t>
            </w:r>
          </w:p>
          <w:p>
            <w:r>
              <w:rPr>
                <w:color w:val="1F3A5F"/>
                <w:sz w:val="18"/>
              </w:rPr>
              <w:t>5. La simulation complète : les chiffres</w:t>
            </w:r>
          </w:p>
        </w:tc>
        <w:tc>
          <w:tcPr>
            <w:tcW w:type="dxa" w:w="3628"/>
          </w:tcPr>
          <w:p>
            <w:r>
              <w:rPr>
                <w:i/>
                <w:sz w:val="18"/>
              </w:rPr>
              <w:t>Page de démonstration : les 5 cases de chiffres en haut, puis la frise des 5 étapes.</w:t>
            </w:r>
          </w:p>
        </w:tc>
        <w:tc>
          <w:tcPr>
            <w:tcW w:type="dxa" w:w="5102"/>
          </w:tcPr>
          <w:p>
            <w:r>
              <w:rPr>
                <w:sz w:val="21"/>
              </w:rPr>
              <w:t>This is the full reference run: five injects over three days and fifty-six agent interventions. Out of one hundred and twenty-four legal claims, eighty-eight percent rest on an extract the agent really received. The rest are clearly labelled: no citation, doubtful, or invalid.</w:t>
            </w:r>
          </w:p>
        </w:tc>
        <w:tc>
          <w:tcPr>
            <w:tcW w:type="dxa" w:w="4819"/>
          </w:tcPr>
          <w:p>
            <w:r>
              <w:rPr>
                <w:color w:val="444444"/>
                <w:sz w:val="19"/>
              </w:rPr>
              <w:t>Voici la simulation de référence complète : cinq étapes sur trois jours et cinquante-six interventions d'agents. Sur cent vingt-quatre affirmations juridiques, quatre-vingt-huit pour cent reposent sur un extrait que l'agent a réellement reçu. Les autres sont clairement signalées : sans citation, douteuses ou invalides.</w:t>
            </w:r>
          </w:p>
        </w:tc>
      </w:tr>
      <w:tr>
        <w:trPr>
          <w:cantSplit/>
        </w:trPr>
        <w:tc>
          <w:tcPr>
            <w:tcW w:type="dxa" w:w="1474"/>
            <w:shd w:val="clear" w:color="auto" w:fill="F2F5F9"/>
          </w:tcPr>
          <w:p>
            <w:r>
              <w:rPr>
                <w:b/>
              </w:rPr>
              <w:t>3:05 – 3:40</w:t>
            </w:r>
          </w:p>
          <w:p>
            <w:r>
              <w:rPr>
                <w:color w:val="1F3A5F"/>
                <w:sz w:val="18"/>
              </w:rPr>
              <w:t>6. Chaque décision a sa source</w:t>
            </w:r>
          </w:p>
        </w:tc>
        <w:tc>
          <w:tcPr>
            <w:tcW w:type="dxa" w:w="3628"/>
            <w:shd w:val="clear" w:color="auto" w:fill="F2F5F9"/>
          </w:tcPr>
          <w:p>
            <w:r>
              <w:rPr>
                <w:i/>
                <w:sz w:val="18"/>
              </w:rPr>
              <w:t>Étape 1, carte « ANTIC » : montrer l'action avec le badge vert « étayée », puis CLIQUER sur la source « … article 10, p. 225 » pour afficher le texte exact.</w:t>
            </w:r>
          </w:p>
        </w:tc>
        <w:tc>
          <w:tcPr>
            <w:tcW w:type="dxa" w:w="5102"/>
            <w:shd w:val="clear" w:color="auto" w:fill="F2F5F9"/>
          </w:tcPr>
          <w:p>
            <w:r>
              <w:rPr>
                <w:sz w:val="21"/>
              </w:rPr>
              <w:t>Every action shows its source. The ICT agency decides to deploy preventive measures and cites Article 10 of the Charter. One click shows the exact text it was given: the body in charge of ICT regulation deploys preventive and repressive means to protect children. No article quoted from memory. And the same article announces a specific text on the agency's role, which has not been adopted: a gap the system reports.</w:t>
            </w:r>
          </w:p>
        </w:tc>
        <w:tc>
          <w:tcPr>
            <w:tcW w:type="dxa" w:w="4819"/>
            <w:shd w:val="clear" w:color="auto" w:fill="F2F5F9"/>
          </w:tcPr>
          <w:p>
            <w:r>
              <w:rPr>
                <w:color w:val="444444"/>
                <w:sz w:val="19"/>
              </w:rPr>
              <w:t>Chaque action montre sa source. L'ANTIC décide de déployer des mesures préventives et cite l'article 10 de la Charte. Un clic affiche le texte exact qu'elle a reçu : l'organe chargé de la régulation des TIC déploie les moyens préventifs et répressifs nécessaires à la protection des enfants. Aucun article cité de mémoire. Et ce même article annonce un texte particulier sur le rôle de l'agence, qui n'a pas été adopté : une lacune que le système signale.</w:t>
            </w:r>
          </w:p>
        </w:tc>
      </w:tr>
      <w:tr>
        <w:trPr>
          <w:cantSplit/>
        </w:trPr>
        <w:tc>
          <w:tcPr>
            <w:tcW w:type="dxa" w:w="1474"/>
          </w:tcPr>
          <w:p>
            <w:r>
              <w:rPr>
                <w:b/>
              </w:rPr>
              <w:t>3:40 – 4:05</w:t>
            </w:r>
          </w:p>
          <w:p>
            <w:r>
              <w:rPr>
                <w:color w:val="1F3A5F"/>
                <w:sz w:val="18"/>
              </w:rPr>
              <w:t>7. Une information inégale</w:t>
            </w:r>
          </w:p>
        </w:tc>
        <w:tc>
          <w:tcPr>
            <w:tcW w:type="dxa" w:w="3628"/>
          </w:tcPr>
          <w:p>
            <w:r>
              <w:rPr>
                <w:i/>
                <w:sz w:val="18"/>
              </w:rPr>
              <w:t>Étape 2 : montrer la ligne « Informés : » (4 étiquettes), puis la demande « MINAS → MINPROFF » (empêcher l'exclusion de la collégienne).</w:t>
            </w:r>
          </w:p>
        </w:tc>
        <w:tc>
          <w:tcPr>
            <w:tcW w:type="dxa" w:w="5102"/>
          </w:tcPr>
          <w:p>
            <w:r>
              <w:rPr>
                <w:sz w:val="21"/>
              </w:rPr>
              <w:t>Information is unequal, as in a real crisis. At step two, only four institutions know about the victims. The social affairs ministry asks the family ministry to stop the school from excluding the fifteen-year-old victim. Information only travels through these requests.</w:t>
            </w:r>
          </w:p>
        </w:tc>
        <w:tc>
          <w:tcPr>
            <w:tcW w:type="dxa" w:w="4819"/>
          </w:tcPr>
          <w:p>
            <w:r>
              <w:rPr>
                <w:color w:val="444444"/>
                <w:sz w:val="19"/>
              </w:rPr>
              <w:t>L'information est inégale, comme dans une vraie crise. À l'étape deux, seules quatre institutions connaissent les victimes. Le ministère des Affaires sociales demande au ministère de la Famille d'empêcher le collège d'exclure la victime de quinze ans. L'information ne circule que par ces demandes.</w:t>
            </w:r>
          </w:p>
        </w:tc>
      </w:tr>
      <w:tr>
        <w:trPr>
          <w:cantSplit/>
        </w:trPr>
        <w:tc>
          <w:tcPr>
            <w:tcW w:type="dxa" w:w="1474"/>
            <w:shd w:val="clear" w:color="auto" w:fill="F2F5F9"/>
          </w:tcPr>
          <w:p>
            <w:r>
              <w:rPr>
                <w:b/>
              </w:rPr>
              <w:t>4:05 – 4:50</w:t>
            </w:r>
          </w:p>
          <w:p>
            <w:r>
              <w:rPr>
                <w:color w:val="1F3A5F"/>
                <w:sz w:val="18"/>
              </w:rPr>
              <w:t>8. Le système attrape les erreurs de l'IA</w:t>
            </w:r>
          </w:p>
        </w:tc>
        <w:tc>
          <w:tcPr>
            <w:tcW w:type="dxa" w:w="3628"/>
            <w:shd w:val="clear" w:color="auto" w:fill="F2F5F9"/>
          </w:tcPr>
          <w:p>
            <w:r>
              <w:rPr>
                <w:i/>
                <w:sz w:val="18"/>
              </w:rPr>
              <w:t>Étape 4, carte du conseiller, section « Vérification des citations du conseiller » : montrer le badge orange « douteuse » avec « texte absent de la base : CCPA ». Puis étape 5 : le badge rouge « invalide » avec « identifiant inexistant : E14 ».</w:t>
            </w:r>
          </w:p>
        </w:tc>
        <w:tc>
          <w:tcPr>
            <w:tcW w:type="dxa" w:w="5102"/>
            <w:shd w:val="clear" w:color="auto" w:fill="F2F5F9"/>
          </w:tcPr>
          <w:p>
            <w:r>
              <w:rPr>
                <w:sz w:val="21"/>
              </w:rPr>
              <w:t>The checker also catches the AI itself. Here the advisor cites a Californian privacy law that is not in our knowledge base: flagged as doubtful. And here it cites an extract number that was never provided, an invention: flagged as invalid. A model can always produce a plausible legal reference. Our system makes sure nobody takes it at face value.</w:t>
            </w:r>
          </w:p>
        </w:tc>
        <w:tc>
          <w:tcPr>
            <w:tcW w:type="dxa" w:w="4819"/>
            <w:shd w:val="clear" w:color="auto" w:fill="F2F5F9"/>
          </w:tcPr>
          <w:p>
            <w:r>
              <w:rPr>
                <w:color w:val="444444"/>
                <w:sz w:val="19"/>
              </w:rPr>
              <w:t>Le contrôle attrape aussi l'IA elle-même. Ici, le conseiller cite une loi californienne sur la vie privée qui n'est pas dans notre base : signalée comme douteuse. Et ici, il cite un numéro d'extrait qui n'a jamais été fourni, une invention : signalée comme invalide. Un modèle peut toujours produire une référence juridique plausible. Notre système garantit que personne ne la prend pour argent comptant.</w:t>
            </w:r>
          </w:p>
        </w:tc>
      </w:tr>
      <w:tr>
        <w:trPr>
          <w:cantSplit/>
        </w:trPr>
        <w:tc>
          <w:tcPr>
            <w:tcW w:type="dxa" w:w="1474"/>
          </w:tcPr>
          <w:p>
            <w:r>
              <w:rPr>
                <w:b/>
              </w:rPr>
              <w:t>4:50 – 5:20</w:t>
            </w:r>
          </w:p>
          <w:p>
            <w:r>
              <w:rPr>
                <w:color w:val="1F3A5F"/>
                <w:sz w:val="18"/>
              </w:rPr>
              <w:t>9. La controverse : bloquer la plateforme ?</w:t>
            </w:r>
          </w:p>
        </w:tc>
        <w:tc>
          <w:tcPr>
            <w:tcW w:type="dxa" w:w="3628"/>
          </w:tcPr>
          <w:p>
            <w:r>
              <w:rPr>
                <w:i/>
                <w:sz w:val="18"/>
              </w:rPr>
              <w:t>Étape 5 : carte « Tchatlink », ouvrir « Raisonnement explicite » (point 5 : éviter le blocage total). Puis la lacune du conseiller sur le blocage total.</w:t>
            </w:r>
          </w:p>
        </w:tc>
        <w:tc>
          <w:tcPr>
            <w:tcW w:type="dxa" w:w="5102"/>
          </w:tcPr>
          <w:p>
            <w:r>
              <w:rPr>
                <w:sz w:val="21"/>
              </w:rPr>
              <w:t>Step five: under media pressure, someone proposes blocking the foreign platform nationwide. The advisor finds no legal basis for blocking a whole platform. The platform's agent warns that it would be disproportionate. This is exactly the kind of controversy that humans must settle, weighing child protection against freedom of expression. The system prepares the debate. It never decides.</w:t>
            </w:r>
          </w:p>
        </w:tc>
        <w:tc>
          <w:tcPr>
            <w:tcW w:type="dxa" w:w="4819"/>
          </w:tcPr>
          <w:p>
            <w:r>
              <w:rPr>
                <w:color w:val="444444"/>
                <w:sz w:val="19"/>
              </w:rPr>
              <w:t>Étape cinq : sous la pression des médias, quelqu'un propose de bloquer la plateforme étrangère dans tout le pays. Le conseiller ne trouve aucune base légale pour bloquer une plateforme entière. L'agent de la plateforme avertit que ce serait disproportionné. C'est exactement le genre de controverse que des humains doivent trancher, entre protection de l'enfance et liberté d'expression. Le système prépare le débat. Il ne décide jamais.</w:t>
            </w:r>
          </w:p>
        </w:tc>
      </w:tr>
      <w:tr>
        <w:trPr>
          <w:cantSplit/>
        </w:trPr>
        <w:tc>
          <w:tcPr>
            <w:tcW w:type="dxa" w:w="1474"/>
            <w:shd w:val="clear" w:color="auto" w:fill="F2F5F9"/>
          </w:tcPr>
          <w:p>
            <w:r>
              <w:rPr>
                <w:b/>
              </w:rPr>
              <w:t>5:20 – 5:45</w:t>
            </w:r>
          </w:p>
          <w:p>
            <w:r>
              <w:rPr>
                <w:color w:val="1F3A5F"/>
                <w:sz w:val="18"/>
              </w:rPr>
              <w:t>10. Le journal d'audit</w:t>
            </w:r>
          </w:p>
        </w:tc>
        <w:tc>
          <w:tcPr>
            <w:tcW w:type="dxa" w:w="3628"/>
            <w:shd w:val="clear" w:color="auto" w:fill="F2F5F9"/>
          </w:tcPr>
          <w:p>
            <w:r>
              <w:rPr>
                <w:i/>
                <w:sz w:val="18"/>
              </w:rPr>
              <w:t>VS Code : ouvrir docs/exemple_simulation/journal.jsonl, montrer une ligne (champs informations_visibles, extraits, raisonnement, modele, jetons).</w:t>
            </w:r>
          </w:p>
        </w:tc>
        <w:tc>
          <w:tcPr>
            <w:tcW w:type="dxa" w:w="5102"/>
            <w:shd w:val="clear" w:color="auto" w:fill="F2F5F9"/>
          </w:tcPr>
          <w:p>
            <w:r>
              <w:rPr>
                <w:sz w:val="21"/>
              </w:rPr>
              <w:t>Every event goes into an audit log: what the agent saw, the extracts it retrieved, its explicit reasoning, the model used, the tokens and the time. Any decision can be traced back to the article behind it.</w:t>
            </w:r>
          </w:p>
        </w:tc>
        <w:tc>
          <w:tcPr>
            <w:tcW w:type="dxa" w:w="4819"/>
            <w:shd w:val="clear" w:color="auto" w:fill="F2F5F9"/>
          </w:tcPr>
          <w:p>
            <w:r>
              <w:rPr>
                <w:color w:val="444444"/>
                <w:sz w:val="19"/>
              </w:rPr>
              <w:t>Chaque événement est inscrit dans un journal d'audit : ce que l'agent a vu, les extraits retrouvés, son raisonnement explicite, le modèle utilisé, les jetons et la durée. Chaque décision peut être retracée jusqu'à l'article qui la fonde.</w:t>
            </w:r>
          </w:p>
        </w:tc>
      </w:tr>
      <w:tr>
        <w:trPr>
          <w:cantSplit/>
        </w:trPr>
        <w:tc>
          <w:tcPr>
            <w:tcW w:type="dxa" w:w="1474"/>
          </w:tcPr>
          <w:p>
            <w:r>
              <w:rPr>
                <w:b/>
              </w:rPr>
              <w:t>5:45 – 6:30</w:t>
            </w:r>
          </w:p>
          <w:p>
            <w:r>
              <w:rPr>
                <w:color w:val="1F3A5F"/>
                <w:sz w:val="18"/>
              </w:rPr>
              <w:t>11. Ce que nous avons appris</w:t>
            </w:r>
          </w:p>
        </w:tc>
        <w:tc>
          <w:tcPr>
            <w:tcW w:type="dxa" w:w="3628"/>
          </w:tcPr>
          <w:p>
            <w:r>
              <w:rPr>
                <w:i/>
                <w:sz w:val="18"/>
              </w:rPr>
              <w:t>Rapport technique (Word), partie 6 « Policy gaps », défiler lentement sur la liste des lacunes.</w:t>
            </w:r>
          </w:p>
        </w:tc>
        <w:tc>
          <w:tcPr>
            <w:tcW w:type="dxa" w:w="5102"/>
          </w:tcPr>
          <w:p>
            <w:r>
              <w:rPr>
                <w:sz w:val="21"/>
              </w:rPr>
              <w:t>What did we learn? The Charter gives platforms fifteen days after a formal notice, while Australia's removal notices require action within twenty-four hours. There is no legal channel for a private safety tool to alert the authorities, no accessible breach-notification procedure where GDPR sets seventy-two hours, and no crisis coordination body. We also report what the agents missed: they treated the nineteen-year-old victim as a child, although the Charter only covers people under eighteen. Human legal review remains essential.</w:t>
            </w:r>
          </w:p>
        </w:tc>
        <w:tc>
          <w:tcPr>
            <w:tcW w:type="dxa" w:w="4819"/>
          </w:tcPr>
          <w:p>
            <w:r>
              <w:rPr>
                <w:color w:val="444444"/>
                <w:sz w:val="19"/>
              </w:rPr>
              <w:t>Qu'avons-nous appris ? La Charte laisse quinze jours aux plateformes après une mise en demeure, alors que les injonctions de retrait australiennes imposent d'agir en vingt-quatre heures. Il n'existe aucun canal légal permettant à un outil privé de protection d'alerter les autorités, aucune procédure accessible de notification des fuites de données là où le RGPD fixe soixante-douze heures, et aucun organe de coordination de crise. Nous signalons aussi ce que les agents ont manqué : ils ont traité la victime de dix-neuf ans comme une enfant, alors que la Charte ne couvre que les moins de dix-huit ans. La relecture juridique humaine reste indispensable.</w:t>
            </w:r>
          </w:p>
        </w:tc>
      </w:tr>
      <w:tr>
        <w:trPr>
          <w:cantSplit/>
        </w:trPr>
        <w:tc>
          <w:tcPr>
            <w:tcW w:type="dxa" w:w="1474"/>
            <w:shd w:val="clear" w:color="auto" w:fill="F2F5F9"/>
          </w:tcPr>
          <w:p>
            <w:r>
              <w:rPr>
                <w:b/>
              </w:rPr>
              <w:t>6:30 – 6:55</w:t>
            </w:r>
          </w:p>
          <w:p>
            <w:r>
              <w:rPr>
                <w:color w:val="1F3A5F"/>
                <w:sz w:val="18"/>
              </w:rPr>
              <w:t>12. Conclusion</w:t>
            </w:r>
          </w:p>
        </w:tc>
        <w:tc>
          <w:tcPr>
            <w:tcW w:type="dxa" w:w="3628"/>
            <w:shd w:val="clear" w:color="auto" w:fill="F2F5F9"/>
          </w:tcPr>
          <w:p>
            <w:r>
              <w:rPr>
                <w:i/>
                <w:sz w:val="18"/>
              </w:rPr>
              <w:t>Retour à la page de démonstration (haut de page), puis écran final : nom du projet, nom de l'équipe, lien GitHub.</w:t>
            </w:r>
          </w:p>
        </w:tc>
        <w:tc>
          <w:tcPr>
            <w:tcW w:type="dxa" w:w="5102"/>
            <w:shd w:val="clear" w:color="auto" w:fill="F2F5F9"/>
          </w:tcPr>
          <w:p>
            <w:r>
              <w:rPr>
                <w:sz w:val="21"/>
              </w:rPr>
              <w:t>MinorShield Policy Lab runs on open-weight models, on a laptop without a graphics card, with French-language law. Its code, knowledge base and full logs are published. It serves the ITU AI Readiness dimension “AI and Policies”: using AI to test our laws before children pay the price. Thank you.</w:t>
            </w:r>
          </w:p>
        </w:tc>
        <w:tc>
          <w:tcPr>
            <w:tcW w:type="dxa" w:w="4819"/>
            <w:shd w:val="clear" w:color="auto" w:fill="F2F5F9"/>
          </w:tcPr>
          <w:p>
            <w:r>
              <w:rPr>
                <w:color w:val="444444"/>
                <w:sz w:val="19"/>
              </w:rPr>
              <w:t>MinorShield Policy Lab fonctionne avec des modèles à poids ouverts, sur un ordinateur portable sans carte graphique, avec des lois en français. Son code, sa base de connaissances et ses journaux complets sont publiés. Il sert la dimension « IA et politiques » du cadre de préparation à l'IA de l'UIT : utiliser l'IA pour tester nos lois avant que les enfants n'en paient le prix. Merci.</w:t>
            </w:r>
          </w:p>
        </w:tc>
      </w:tr>
    </w:tbl>
    <w:p>
      <w:pPr>
        <w:spacing w:after="0"/>
      </w:pPr>
      <w:r>
        <w:rPr>
          <w:b w:val="0"/>
          <w:i/>
          <w:color w:val="555555"/>
          <w:sz w:val="18"/>
        </w:rPr>
        <w:t>Narration anglaise : 761 mots, soit environ 5.6 minutes à un rythme posé (135 mots/min), pauses et démonstrations comprises dans les durées ci-dessus.</w:t>
      </w:r>
    </w:p>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