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00" w:lineRule="auto"/>
        <w:jc w:val="center"/>
        <w:rPr>
          <w:rFonts w:eastAsia="华文新魏"/>
          <w:b/>
          <w:bCs/>
          <w:sz w:val="32"/>
        </w:rPr>
      </w:pPr>
      <w:bookmarkStart w:id="0" w:name="_GoBack"/>
      <w:bookmarkEnd w:id="0"/>
      <w:r>
        <w:rPr>
          <w:rFonts w:hint="eastAsia" w:eastAsia="华文新魏"/>
          <w:b/>
          <w:bCs/>
          <w:sz w:val="32"/>
        </w:rPr>
        <w:t>实验3</w:t>
      </w:r>
      <w:r>
        <w:rPr>
          <w:rFonts w:eastAsia="华文新魏"/>
          <w:b/>
          <w:bCs/>
          <w:sz w:val="32"/>
        </w:rPr>
        <w:t>.10</w:t>
      </w:r>
      <w:r>
        <w:rPr>
          <w:rFonts w:hint="eastAsia" w:eastAsia="华文新魏"/>
          <w:b/>
          <w:bCs/>
          <w:sz w:val="32"/>
        </w:rPr>
        <w:t xml:space="preserve">   </w:t>
      </w:r>
      <w:r>
        <w:rPr>
          <w:rFonts w:hint="eastAsia" w:eastAsia="华文中宋"/>
          <w:b/>
          <w:bCs/>
          <w:sz w:val="32"/>
          <w:u w:val="single"/>
        </w:rPr>
        <w:t>光的偏振（虚拟实验）</w:t>
      </w:r>
    </w:p>
    <w:p>
      <w:pPr>
        <w:spacing w:line="200" w:lineRule="atLeast"/>
        <w:rPr>
          <w:rFonts w:eastAsia="楷体_GB2312"/>
          <w:b/>
          <w:bCs/>
          <w:sz w:val="24"/>
          <w:u w:val="single"/>
        </w:rPr>
      </w:pPr>
      <w:r>
        <w:rPr>
          <w:rFonts w:hint="eastAsia" w:eastAsia="楷体_GB2312"/>
          <w:b/>
          <w:bCs/>
          <w:sz w:val="24"/>
        </w:rPr>
        <w:t>姓名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 xml:space="preserve"> 刘浩然</w:t>
      </w:r>
      <w:r>
        <w:rPr>
          <w:rFonts w:eastAsia="楷体_GB2312"/>
          <w:b/>
          <w:bCs/>
          <w:sz w:val="24"/>
          <w:u w:val="single"/>
        </w:rPr>
        <w:t xml:space="preserve">  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eastAsia="楷体_GB2312"/>
          <w:b/>
          <w:bCs/>
          <w:sz w:val="24"/>
          <w:u w:val="single"/>
        </w:rPr>
        <w:t xml:space="preserve">   </w:t>
      </w:r>
      <w:r>
        <w:rPr>
          <w:rFonts w:hint="eastAsia" w:eastAsia="楷体_GB2312"/>
          <w:b/>
          <w:bCs/>
          <w:sz w:val="24"/>
        </w:rPr>
        <w:t>班级</w:t>
      </w:r>
      <w:r>
        <w:rPr>
          <w:rFonts w:eastAsia="楷体_GB2312"/>
          <w:b/>
          <w:bCs/>
          <w:sz w:val="24"/>
          <w:u w:val="single"/>
        </w:rPr>
        <w:t xml:space="preserve"> 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2021214104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eastAsia="楷体_GB2312"/>
          <w:b/>
          <w:bCs/>
          <w:sz w:val="24"/>
        </w:rPr>
        <w:t xml:space="preserve"> </w:t>
      </w:r>
      <w:r>
        <w:rPr>
          <w:rFonts w:hint="eastAsia" w:eastAsia="楷体_GB2312"/>
          <w:b/>
          <w:bCs/>
          <w:sz w:val="24"/>
        </w:rPr>
        <w:t>实验时间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2022.5.31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eastAsia="楷体_GB2312"/>
          <w:b/>
          <w:bCs/>
          <w:sz w:val="24"/>
          <w:u w:val="single"/>
        </w:rPr>
        <w:t xml:space="preserve">   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eastAsia="楷体_GB2312"/>
          <w:b/>
          <w:bCs/>
          <w:sz w:val="24"/>
          <w:u w:val="single"/>
        </w:rPr>
        <w:t xml:space="preserve"> </w:t>
      </w:r>
    </w:p>
    <w:p>
      <w:pPr>
        <w:spacing w:before="156" w:beforeLines="50" w:line="360" w:lineRule="auto"/>
        <w:rPr>
          <w:rFonts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</w:rPr>
        <w:t>一、预习要点</w:t>
      </w:r>
    </w:p>
    <w:p>
      <w:pPr>
        <w:numPr>
          <w:ilvl w:val="0"/>
          <w:numId w:val="1"/>
        </w:numPr>
      </w:pPr>
      <w:r>
        <w:rPr>
          <w:rFonts w:hint="eastAsia"/>
          <w:lang w:val="el-GR"/>
        </w:rPr>
        <w:t>自</w:t>
      </w:r>
      <w:r>
        <w:rPr>
          <w:rFonts w:hint="eastAsia"/>
        </w:rPr>
        <w:t>然光和偏振光的区别，偏振光的分类，获得与检验偏振光的方法；</w:t>
      </w:r>
    </w:p>
    <w:p>
      <w:pPr>
        <w:numPr>
          <w:ilvl w:val="0"/>
          <w:numId w:val="1"/>
        </w:numPr>
        <w:ind w:left="198" w:hanging="198"/>
      </w:pPr>
      <w:r>
        <w:t>光在各向</w:t>
      </w:r>
      <w:r>
        <w:rPr>
          <w:rFonts w:hint="eastAsia"/>
        </w:rPr>
        <w:t>异</w:t>
      </w:r>
      <w:r>
        <w:t>性媒质</w:t>
      </w:r>
      <w:r>
        <w:rPr>
          <w:rFonts w:hint="eastAsia"/>
        </w:rPr>
        <w:t>（如双折射晶体）中的传播时产生双折射的物理原理；寻常光（o光）与非寻常光（e光）的区别；</w:t>
      </w:r>
    </w:p>
    <w:p>
      <w:pPr>
        <w:numPr>
          <w:ilvl w:val="0"/>
          <w:numId w:val="1"/>
        </w:numPr>
      </w:pPr>
      <w:r>
        <w:rPr>
          <w:rFonts w:hint="eastAsia"/>
        </w:rPr>
        <w:t>偏振片和</w:t>
      </w:r>
      <w:r>
        <w:rPr>
          <w:rFonts w:hint="eastAsia" w:hAnsi="宋体"/>
        </w:rPr>
        <w:t>波片的物理原理和作用。</w:t>
      </w:r>
    </w:p>
    <w:p>
      <w:pPr>
        <w:pStyle w:val="21"/>
        <w:numPr>
          <w:ilvl w:val="0"/>
          <w:numId w:val="2"/>
        </w:numPr>
        <w:spacing w:before="156" w:beforeLines="50" w:line="360" w:lineRule="auto"/>
        <w:ind w:firstLineChars="0"/>
      </w:pPr>
      <w:r>
        <w:rPr>
          <w:rFonts w:hint="eastAsia" w:eastAsia="黑体"/>
          <w:b/>
          <w:bCs/>
          <w:sz w:val="24"/>
        </w:rPr>
        <w:t>实验要求</w:t>
      </w:r>
    </w:p>
    <w:p>
      <w:pPr>
        <w:pStyle w:val="21"/>
        <w:widowControl/>
        <w:numPr>
          <w:ilvl w:val="0"/>
          <w:numId w:val="3"/>
        </w:numPr>
        <w:spacing w:line="360" w:lineRule="auto"/>
        <w:ind w:firstLineChars="0"/>
        <w:jc w:val="left"/>
      </w:pPr>
      <w:r>
        <w:rPr>
          <w:rFonts w:hint="eastAsia"/>
        </w:rPr>
        <w:t>光源+</w:t>
      </w:r>
      <w:r>
        <w:t>1</w:t>
      </w:r>
      <w:r>
        <w:rPr>
          <w:rFonts w:hint="eastAsia"/>
        </w:rPr>
        <w:t>个偏振片（偏振片A或者B）。选择光源不同的偏振状态（自然光、圆偏振、椭圆偏振和部分偏振光），观察</w:t>
      </w:r>
      <w:r>
        <w:rPr>
          <w:rFonts w:hint="eastAsia"/>
          <w:color w:val="000000"/>
        </w:rPr>
        <w:t>检偏器转动一周（3</w:t>
      </w:r>
      <w:r>
        <w:rPr>
          <w:color w:val="000000"/>
        </w:rPr>
        <w:t>60</w:t>
      </w:r>
      <w:r>
        <w:rPr>
          <w:rFonts w:hint="eastAsia"/>
          <w:color w:val="000000"/>
        </w:rPr>
        <w:t>度）时，光强的变化。观察结果请描述。如存在最小和最大光强，记录光强值及对应的检偏器的角度。</w:t>
      </w:r>
      <w:r>
        <w:rPr>
          <w:rFonts w:hint="eastAsia"/>
          <w:color w:val="000000"/>
          <w:highlight w:val="yellow"/>
        </w:rPr>
        <w:t>给出实验截图（包括光强和实验时间）。</w:t>
      </w:r>
    </w:p>
    <w:p>
      <w:pPr>
        <w:pStyle w:val="21"/>
        <w:widowControl/>
        <w:spacing w:line="360" w:lineRule="auto"/>
        <w:ind w:left="360" w:firstLine="0" w:firstLineChars="0"/>
        <w:jc w:val="left"/>
      </w:pPr>
      <w:r>
        <w:drawing>
          <wp:inline distT="0" distB="0" distL="114300" distR="114300">
            <wp:extent cx="5749925" cy="2491740"/>
            <wp:effectExtent l="0" t="0" r="10795" b="762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widowControl/>
        <w:spacing w:line="360" w:lineRule="auto"/>
        <w:ind w:left="360" w:firstLine="0" w:firstLineChars="0"/>
        <w:jc w:val="left"/>
      </w:pPr>
      <w:r>
        <w:rPr>
          <w:rFonts w:hint="eastAsia"/>
          <w:color w:val="000000"/>
        </w:rPr>
        <w:t>自然光下，光强始终为49.</w:t>
      </w:r>
      <w:r>
        <w:rPr>
          <w:color w:val="000000"/>
        </w:rPr>
        <w:t>98</w:t>
      </w:r>
    </w:p>
    <w:p>
      <w:pPr>
        <w:pStyle w:val="21"/>
        <w:widowControl/>
        <w:spacing w:line="360" w:lineRule="auto"/>
        <w:ind w:left="360" w:firstLine="0" w:firstLineChars="0"/>
        <w:jc w:val="left"/>
        <w:rPr>
          <w:color w:val="000000"/>
        </w:rPr>
      </w:pPr>
      <w:r>
        <w:drawing>
          <wp:inline distT="0" distB="0" distL="114300" distR="114300">
            <wp:extent cx="5749925" cy="2491740"/>
            <wp:effectExtent l="0" t="0" r="10795" b="762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圆偏振光下，光强</w:t>
      </w:r>
      <w:r>
        <w:rPr>
          <w:rFonts w:hint="eastAsia"/>
          <w:color w:val="000000"/>
          <w:lang w:val="en-US" w:eastAsia="zh-CN"/>
        </w:rPr>
        <w:t>为</w:t>
      </w:r>
      <w:r>
        <w:rPr>
          <w:rFonts w:hint="eastAsia"/>
          <w:color w:val="000000"/>
        </w:rPr>
        <w:t>50</w:t>
      </w:r>
      <w:r>
        <w:rPr>
          <w:color w:val="000000"/>
        </w:rPr>
        <w:t>.41</w:t>
      </w:r>
    </w:p>
    <w:p>
      <w:pPr>
        <w:pStyle w:val="21"/>
        <w:widowControl/>
        <w:spacing w:line="360" w:lineRule="auto"/>
        <w:ind w:left="360" w:firstLine="0" w:firstLineChars="0"/>
        <w:jc w:val="left"/>
        <w:rPr>
          <w:color w:val="000000"/>
        </w:rPr>
      </w:pPr>
    </w:p>
    <w:p>
      <w:pPr>
        <w:pStyle w:val="21"/>
        <w:widowControl/>
        <w:spacing w:line="360" w:lineRule="auto"/>
        <w:ind w:left="360" w:firstLine="0" w:firstLineChars="0"/>
        <w:jc w:val="left"/>
        <w:rPr>
          <w:color w:val="000000"/>
        </w:rPr>
      </w:pPr>
    </w:p>
    <w:p>
      <w:pPr>
        <w:pStyle w:val="21"/>
        <w:widowControl/>
        <w:spacing w:line="360" w:lineRule="auto"/>
        <w:ind w:left="360" w:firstLine="0" w:firstLineChars="0"/>
        <w:jc w:val="left"/>
        <w:rPr>
          <w:color w:val="000000"/>
        </w:rPr>
      </w:pPr>
      <w:r>
        <w:drawing>
          <wp:inline distT="0" distB="0" distL="114300" distR="114300">
            <wp:extent cx="5749925" cy="2491740"/>
            <wp:effectExtent l="0" t="0" r="10795" b="762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widowControl/>
        <w:spacing w:line="360" w:lineRule="auto"/>
        <w:ind w:left="360" w:firstLine="0" w:firstLineChars="0"/>
        <w:jc w:val="left"/>
        <w:rPr>
          <w:color w:val="000000"/>
        </w:rPr>
      </w:pPr>
    </w:p>
    <w:p>
      <w:pPr>
        <w:pStyle w:val="21"/>
        <w:widowControl/>
        <w:spacing w:line="360" w:lineRule="auto"/>
        <w:ind w:left="360" w:firstLine="0" w:firstLineChars="0"/>
        <w:jc w:val="left"/>
        <w:rPr>
          <w:color w:val="000000"/>
        </w:rPr>
      </w:pPr>
      <w:r>
        <w:drawing>
          <wp:inline distT="0" distB="0" distL="114300" distR="114300">
            <wp:extent cx="5749925" cy="2491740"/>
            <wp:effectExtent l="0" t="0" r="10795" b="762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widowControl/>
        <w:spacing w:line="360" w:lineRule="auto"/>
        <w:ind w:left="360" w:firstLine="0" w:firstLineChars="0"/>
        <w:jc w:val="left"/>
      </w:pPr>
    </w:p>
    <w:p>
      <w:pPr>
        <w:pStyle w:val="21"/>
        <w:widowControl/>
        <w:numPr>
          <w:ilvl w:val="0"/>
          <w:numId w:val="3"/>
        </w:numPr>
        <w:spacing w:line="360" w:lineRule="auto"/>
        <w:ind w:firstLineChars="0"/>
        <w:jc w:val="left"/>
      </w:pPr>
      <w:r>
        <w:rPr>
          <w:rFonts w:hint="eastAsia"/>
        </w:rPr>
        <w:t>观察线偏振光及</w:t>
      </w:r>
      <w:r>
        <w:rPr>
          <w:rFonts w:hint="eastAsia" w:hAnsi="宋体"/>
        </w:rPr>
        <w:t>验证马吕斯定律。消光时</w:t>
      </w:r>
      <w:r>
        <w:rPr>
          <w:rFonts w:hint="eastAsia"/>
        </w:rPr>
        <w:t>起偏器（A）与</w:t>
      </w:r>
      <w:r>
        <w:rPr>
          <w:rFonts w:hint="eastAsia" w:hAnsi="宋体"/>
        </w:rPr>
        <w:t>检偏器（B）的透振方向夹角</w:t>
      </w:r>
      <w:r>
        <w:rPr>
          <w:position w:val="-10"/>
        </w:rPr>
        <w:object>
          <v:shape id="_x0000_i1025" o:spt="75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2">
            <o:LockedField>false</o:LockedField>
          </o:OLEObject>
        </w:object>
      </w:r>
      <w:r>
        <w:rPr>
          <w:rFonts w:hint="eastAsia"/>
        </w:rPr>
        <w:t>=90</w:t>
      </w:r>
      <w:r>
        <w:rPr>
          <w:rFonts w:hint="eastAsia"/>
          <w:vertAlign w:val="superscript"/>
        </w:rPr>
        <w:t>o</w:t>
      </w:r>
      <w:r>
        <w:rPr>
          <w:rFonts w:hint="eastAsia"/>
        </w:rPr>
        <w:t>。</w:t>
      </w:r>
    </w:p>
    <w:tbl>
      <w:tblPr>
        <w:tblStyle w:val="15"/>
        <w:tblpPr w:leftFromText="180" w:rightFromText="180" w:vertAnchor="text" w:horzAnchor="margin" w:tblpY="105"/>
        <w:tblW w:w="494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50" w:type="pct"/>
            <w:vAlign w:val="center"/>
          </w:tcPr>
          <w:p>
            <w:pPr>
              <w:spacing w:line="200" w:lineRule="atLeast"/>
              <w:rPr>
                <w:lang w:val="el-GR"/>
              </w:rPr>
            </w:pPr>
            <w:r>
              <w:rPr>
                <w:position w:val="-10"/>
              </w:rPr>
              <w:object>
                <v:shape id="_x0000_i1026" o:spt="75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4">
                  <o:LockedField>false</o:LockedField>
                </o:OLEObject>
              </w:objec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）</m:t>
              </m:r>
            </m:oMath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</w:t>
            </w:r>
          </w:p>
        </w:tc>
        <w:tc>
          <w:tcPr>
            <w:tcW w:w="425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  <w:tc>
          <w:tcPr>
            <w:tcW w:w="424" w:type="pct"/>
            <w:vAlign w:val="center"/>
          </w:tcPr>
          <w:p>
            <w:pPr>
              <w:spacing w:line="20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750" w:type="pct"/>
            <w:vAlign w:val="center"/>
          </w:tcPr>
          <w:p>
            <w:pPr>
              <w:spacing w:line="200" w:lineRule="atLeast"/>
              <w:jc w:val="center"/>
            </w:pPr>
            <w:r>
              <w:rPr>
                <w:rFonts w:hint="eastAsia" w:hAnsi="宋体"/>
                <w:sz w:val="18"/>
              </w:rPr>
              <w:t>光强</w:t>
            </w:r>
            <w:r>
              <w:t>I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0.001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0.031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0.109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0.242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0.406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0.578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0.760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0.864</w:t>
            </w:r>
          </w:p>
        </w:tc>
        <w:tc>
          <w:tcPr>
            <w:tcW w:w="425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0.954</w:t>
            </w:r>
          </w:p>
        </w:tc>
        <w:tc>
          <w:tcPr>
            <w:tcW w:w="424" w:type="pct"/>
            <w:vAlign w:val="bottom"/>
          </w:tcPr>
          <w:p>
            <w:pPr>
              <w:spacing w:line="200" w:lineRule="atLeast"/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1.014</w:t>
            </w:r>
          </w:p>
        </w:tc>
      </w:tr>
    </w:tbl>
    <w:p>
      <w:pPr>
        <w:pStyle w:val="21"/>
        <w:widowControl/>
        <w:spacing w:line="360" w:lineRule="auto"/>
        <w:ind w:left="360" w:firstLine="0" w:firstLineChars="0"/>
        <w:jc w:val="left"/>
        <w:rPr>
          <w:rFonts w:hAnsi="宋体"/>
        </w:rPr>
      </w:pPr>
      <w:r>
        <w:rPr>
          <w:rFonts w:hint="eastAsia" w:hAnsi="宋体"/>
        </w:rPr>
        <w:t>作线</w:t>
      </w:r>
      <w:r>
        <w:rPr>
          <w:rFonts w:hint="eastAsia" w:hAnsi="宋体"/>
          <w:color w:val="000000"/>
        </w:rPr>
        <w:t>偏振光的</w:t>
      </w:r>
      <w:r>
        <w:rPr>
          <w:rFonts w:hint="eastAsia" w:hAnsi="宋体"/>
        </w:rPr>
        <w:t>光强</w:t>
      </w:r>
      <w:r>
        <w:rPr>
          <w:rFonts w:hint="eastAsia" w:hAnsi="宋体"/>
          <w:i/>
          <w:iCs/>
        </w:rPr>
        <w:t>I</w:t>
      </w:r>
      <w:r>
        <w:rPr>
          <w:rFonts w:hint="eastAsia" w:hAnsi="宋体"/>
        </w:rPr>
        <w:t>与cos</w:t>
      </w:r>
      <w:r>
        <w:rPr>
          <w:rFonts w:hint="eastAsia" w:hAnsi="宋体"/>
          <w:vertAlign w:val="superscript"/>
        </w:rPr>
        <w:t>2</w:t>
      </w:r>
      <w:r>
        <w:rPr>
          <w:position w:val="-10"/>
        </w:rPr>
        <w:object>
          <v:shape id="_x0000_i1027" o:spt="75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5">
            <o:LockedField>false</o:LockedField>
          </o:OLEObject>
        </w:object>
      </w:r>
      <w:r>
        <w:rPr>
          <w:rFonts w:hint="eastAsia"/>
        </w:rPr>
        <w:t>的</w:t>
      </w:r>
      <w:r>
        <w:rPr>
          <w:rFonts w:hint="eastAsia" w:hAnsi="宋体"/>
        </w:rPr>
        <w:t>关系图，验证马吕斯定律。</w:t>
      </w:r>
      <w:r>
        <w:rPr>
          <w:rFonts w:hint="eastAsia" w:hAnsi="宋体"/>
          <w:highlight w:val="yellow"/>
        </w:rPr>
        <w:t>给出实验截图</w:t>
      </w:r>
      <w:r>
        <w:rPr>
          <w:rFonts w:hint="eastAsia"/>
          <w:color w:val="000000"/>
          <w:highlight w:val="yellow"/>
        </w:rPr>
        <w:t>（包括光强和实验时间）</w:t>
      </w:r>
      <w:r>
        <w:rPr>
          <w:rFonts w:hint="eastAsia" w:hAnsi="宋体"/>
        </w:rPr>
        <w:t>。</w:t>
      </w:r>
    </w:p>
    <w:p>
      <w:pPr>
        <w:pStyle w:val="21"/>
        <w:widowControl/>
        <w:spacing w:line="360" w:lineRule="auto"/>
        <w:ind w:left="360" w:firstLine="0" w:firstLineChars="0"/>
        <w:jc w:val="left"/>
        <w:rPr>
          <w:rFonts w:hint="eastAsia" w:hAnsi="宋体" w:eastAsia="宋体"/>
          <w:lang w:eastAsia="zh-CN"/>
        </w:rPr>
      </w:pPr>
      <w:r>
        <w:rPr>
          <w:rFonts w:hint="eastAsia" w:hAnsi="宋体" w:eastAsia="宋体"/>
          <w:lang w:eastAsia="zh-CN"/>
        </w:rPr>
        <w:drawing>
          <wp:inline distT="0" distB="0" distL="114300" distR="114300">
            <wp:extent cx="4846955" cy="8617585"/>
            <wp:effectExtent l="0" t="0" r="14605" b="8255"/>
            <wp:docPr id="6" name="图片 6" descr="b8745f1813129b9290f9028a1f0d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8745f1813129b9290f9028a1f0df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86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widowControl/>
        <w:spacing w:line="360" w:lineRule="auto"/>
        <w:ind w:left="360" w:firstLine="0" w:firstLineChars="0"/>
        <w:jc w:val="left"/>
        <w:rPr>
          <w:rFonts w:hint="eastAsia" w:hAnsi="宋体" w:eastAsia="宋体"/>
          <w:lang w:eastAsia="zh-CN"/>
        </w:rPr>
      </w:pPr>
      <w:r>
        <w:drawing>
          <wp:inline distT="0" distB="0" distL="114300" distR="114300">
            <wp:extent cx="5757545" cy="3601085"/>
            <wp:effectExtent l="0" t="0" r="3175" b="1079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widowControl/>
        <w:spacing w:line="360" w:lineRule="auto"/>
        <w:ind w:left="360" w:firstLine="0" w:firstLineChars="0"/>
        <w:jc w:val="left"/>
      </w:pPr>
    </w:p>
    <w:p>
      <w:pPr>
        <w:pStyle w:val="21"/>
        <w:widowControl/>
        <w:numPr>
          <w:ilvl w:val="0"/>
          <w:numId w:val="3"/>
        </w:numPr>
        <w:spacing w:line="360" w:lineRule="auto"/>
        <w:ind w:firstLineChars="0"/>
        <w:jc w:val="left"/>
      </w:pPr>
      <w:r>
        <w:rPr>
          <w:rFonts w:hint="eastAsia"/>
          <w:color w:val="000000"/>
        </w:rPr>
        <w:t>在两正交</w:t>
      </w:r>
      <w:r>
        <w:rPr>
          <w:rFonts w:hint="eastAsia" w:hAnsi="宋体"/>
          <w:color w:val="000000"/>
        </w:rPr>
        <w:t>透振方向</w:t>
      </w:r>
      <w:r>
        <w:rPr>
          <w:rFonts w:hint="eastAsia"/>
          <w:color w:val="000000"/>
        </w:rPr>
        <w:t>的偏振片中间加入1/4波片，1/4波片从消光位置转过一定的角度</w:t>
      </w:r>
      <w:r>
        <w:rPr>
          <w:rFonts w:ascii="Symbol" w:hAnsi="Symbol"/>
          <w:i/>
          <w:color w:val="000000"/>
        </w:rPr>
        <w:t></w:t>
      </w:r>
      <w:r>
        <w:rPr>
          <w:rFonts w:hint="eastAsia"/>
          <w:color w:val="000000"/>
        </w:rPr>
        <w:t>（0，</w:t>
      </w:r>
      <w:r>
        <w:rPr>
          <w:color w:val="000000"/>
        </w:rPr>
        <w:t>15</w:t>
      </w:r>
      <w:r>
        <w:rPr>
          <w:rFonts w:hint="eastAsia"/>
          <w:color w:val="000000"/>
        </w:rPr>
        <w:t>，45度），记录检偏器转动一周时，光强大小的变化。</w:t>
      </w:r>
      <w:r>
        <w:rPr>
          <w:rFonts w:hint="eastAsia" w:hAnsi="宋体"/>
        </w:rPr>
        <w:t>用极坐标图作不同偏振状态的偏振光的相对光强分布图，说明</w:t>
      </w:r>
      <w:r>
        <w:rPr>
          <w:rFonts w:hint="eastAsia"/>
          <w:color w:val="000000"/>
        </w:rPr>
        <w:t>1/4</w:t>
      </w:r>
      <w:r>
        <w:rPr>
          <w:rFonts w:hint="eastAsia" w:hAnsi="宋体"/>
        </w:rPr>
        <w:t>波片在消光位置和转过</w:t>
      </w:r>
      <w:r>
        <w:rPr>
          <w:rFonts w:hAnsi="宋体"/>
        </w:rPr>
        <w:t>15</w:t>
      </w:r>
      <w:r>
        <w:rPr>
          <w:rFonts w:hint="eastAsia" w:hAnsi="宋体"/>
        </w:rPr>
        <w:t>°、45°时，光通过</w:t>
      </w:r>
      <w:r>
        <w:rPr>
          <w:rFonts w:hint="eastAsia"/>
          <w:color w:val="000000"/>
        </w:rPr>
        <w:t>1/4波</w:t>
      </w:r>
      <w:r>
        <w:rPr>
          <w:rFonts w:hint="eastAsia" w:hAnsi="宋体"/>
        </w:rPr>
        <w:t>片后的光的偏振态。</w:t>
      </w:r>
      <w:r>
        <w:rPr>
          <w:rFonts w:hint="eastAsia"/>
          <w:color w:val="000000"/>
          <w:highlight w:val="yellow"/>
        </w:rPr>
        <w:t>给出实验截图（包括光强和实验时间）</w:t>
      </w:r>
      <w:r>
        <w:rPr>
          <w:rFonts w:hint="eastAsia"/>
          <w:color w:val="000000"/>
        </w:rPr>
        <w:t>。</w:t>
      </w:r>
      <w:r>
        <w:br w:type="page"/>
      </w:r>
    </w:p>
    <w:tbl>
      <w:tblPr>
        <w:tblStyle w:val="15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103"/>
        <w:gridCol w:w="973"/>
        <w:gridCol w:w="1113"/>
        <w:gridCol w:w="1670"/>
        <w:gridCol w:w="973"/>
        <w:gridCol w:w="975"/>
        <w:gridCol w:w="974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exact"/>
        </w:trPr>
        <w:tc>
          <w:tcPr>
            <w:tcW w:w="811" w:type="pct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波片的角度</w:t>
            </w:r>
            <w:r>
              <w:rPr>
                <w:rFonts w:ascii="Symbol" w:hAnsi="Symbol"/>
                <w:i/>
                <w:color w:val="000000"/>
              </w:rPr>
              <w:t></w:t>
            </w: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</w:p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的角度</w:t>
            </w:r>
          </w:p>
        </w:tc>
        <w:tc>
          <w:tcPr>
            <w:tcW w:w="594" w:type="pct"/>
            <w:tcBorders>
              <w:righ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</w:rPr>
            </w:pPr>
            <w:r>
              <w:t>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tcBorders>
              <w:left w:val="single" w:color="000000" w:sz="6" w:space="0"/>
              <w:righ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</w:rPr>
            </w:pPr>
            <w:r>
              <w:t>15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9" w:type="pct"/>
            <w:tcBorders>
              <w:left w:val="single" w:color="000000" w:sz="6" w:space="0"/>
              <w:righ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</w:rPr>
            </w:pPr>
            <w:r>
              <w:t>45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899" w:type="pct"/>
            <w:tcBorders>
              <w:left w:val="single" w:color="000000" w:sz="6" w:space="0"/>
              <w:righ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  <w:szCs w:val="21"/>
              </w:rPr>
              <w:t>波片的角度</w:t>
            </w:r>
            <w:r>
              <w:rPr>
                <w:rFonts w:ascii="Symbol" w:hAnsi="Symbol"/>
                <w:i/>
                <w:color w:val="000000"/>
              </w:rPr>
              <w:t></w:t>
            </w:r>
          </w:p>
        </w:tc>
        <w:tc>
          <w:tcPr>
            <w:tcW w:w="524" w:type="pct"/>
            <w:tcBorders>
              <w:left w:val="single" w:color="000000" w:sz="6" w:space="0"/>
              <w:righ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</w:rPr>
            </w:pPr>
            <w:r>
              <w:t>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5" w:type="pct"/>
            <w:tcBorders>
              <w:left w:val="single" w:color="000000" w:sz="6" w:space="0"/>
              <w:righ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</w:rPr>
            </w:pPr>
            <w:r>
              <w:t>15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tcBorders>
              <w:lef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</w:rPr>
            </w:pPr>
            <w:r>
              <w:t>45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4" w:hRule="exact"/>
        </w:trPr>
        <w:tc>
          <w:tcPr>
            <w:tcW w:w="811" w:type="pct"/>
            <w:tcBorders>
              <w:top w:val="single" w:color="000000" w:sz="6" w:space="0"/>
              <w:left w:val="single" w:color="000000" w:sz="6" w:space="0"/>
            </w:tcBorders>
          </w:tcPr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/>
                <w:lang w:val="el-GR"/>
              </w:rPr>
              <w:t>检偏器角度</w:t>
            </w:r>
            <w:r>
              <w:rPr>
                <w:lang w:val="el-GR"/>
              </w:rPr>
              <w:t>α</w:t>
            </w:r>
          </w:p>
        </w:tc>
        <w:tc>
          <w:tcPr>
            <w:tcW w:w="1717" w:type="pct"/>
            <w:gridSpan w:val="3"/>
            <w:tcBorders>
              <w:right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lang w:val="el-GR"/>
              </w:rPr>
            </w:pPr>
            <w:r>
              <w:rPr>
                <w:rFonts w:hint="eastAsia" w:hAnsi="宋体"/>
              </w:rPr>
              <w:t>功率计读数I</w:t>
            </w:r>
          </w:p>
        </w:tc>
        <w:tc>
          <w:tcPr>
            <w:tcW w:w="899" w:type="pct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/>
                <w:lang w:val="el-GR"/>
              </w:rPr>
              <w:t>检偏器角度</w:t>
            </w:r>
            <w:r>
              <w:rPr>
                <w:lang w:val="el-GR"/>
              </w:rPr>
              <w:t>α</w:t>
            </w:r>
          </w:p>
        </w:tc>
        <w:tc>
          <w:tcPr>
            <w:tcW w:w="1573" w:type="pct"/>
            <w:gridSpan w:val="3"/>
            <w:tcBorders>
              <w:left w:val="single" w:color="000000" w:sz="6" w:space="0"/>
            </w:tcBorders>
            <w:vAlign w:val="center"/>
          </w:tcPr>
          <w:p>
            <w:pPr>
              <w:spacing w:line="200" w:lineRule="atLeast"/>
              <w:ind w:firstLine="420" w:firstLineChars="200"/>
              <w:jc w:val="center"/>
              <w:rPr>
                <w:lang w:val="el-GR"/>
              </w:rPr>
            </w:pPr>
            <w:r>
              <w:rPr>
                <w:rFonts w:hint="eastAsia" w:hAnsi="宋体"/>
              </w:rPr>
              <w:t>功率计读数I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both"/>
              <w:rPr>
                <w:rFonts w:hint="default" w:eastAsia="宋体"/>
                <w:vertAlign w:val="superscript"/>
                <w:lang w:val="en-US" w:eastAsia="zh-CN"/>
              </w:rPr>
            </w:pPr>
            <w:r>
              <w:rPr>
                <w:rFonts w:hint="eastAsia"/>
                <w:vertAlign w:val="superscript"/>
                <w:lang w:val="en-US" w:eastAsia="zh-CN"/>
              </w:rPr>
              <w:t>0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12.4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180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7.61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10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both"/>
              <w:rPr>
                <w:rFonts w:hint="default" w:eastAsia="宋体"/>
                <w:vertAlign w:val="superscript"/>
                <w:lang w:val="en-US" w:eastAsia="zh-CN"/>
              </w:rPr>
            </w:pPr>
            <w:r>
              <w:rPr>
                <w:rFonts w:hint="eastAsia"/>
                <w:vertAlign w:val="superscript"/>
                <w:lang w:val="en-US" w:eastAsia="zh-CN"/>
              </w:rPr>
              <w:t>3.01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22.21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both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190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3.02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12.5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20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both"/>
              <w:rPr>
                <w:rFonts w:hint="default" w:eastAsia="宋体"/>
                <w:vertAlign w:val="superscript"/>
                <w:lang w:val="en-US" w:eastAsia="zh-CN"/>
              </w:rPr>
            </w:pPr>
            <w:r>
              <w:rPr>
                <w:rFonts w:hint="eastAsia"/>
                <w:vertAlign w:val="superscript"/>
                <w:lang w:val="en-US" w:eastAsia="zh-CN"/>
              </w:rPr>
              <w:t>11.7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both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35.19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200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11.7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22.30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30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210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25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35.11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40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41.29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64.80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220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41.32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50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59.68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77.72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230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57.66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64.24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60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75.0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87.5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240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75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78.32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70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88.32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92.61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250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88.25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87.5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80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96.68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92.64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260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96.72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92.32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90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87.5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270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100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92.34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100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96.82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77.92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280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96.98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87.5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110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88.27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64.81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290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88.27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77.28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120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300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75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64.94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130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58.61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35.18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310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58.4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140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41.32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22.09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320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40.92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35.19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</w:pPr>
            <w:r>
              <w:t>150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12.5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330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25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22.12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</w:pPr>
            <w:r>
              <w:t>160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11.7</w:t>
            </w:r>
          </w:p>
        </w:tc>
        <w:tc>
          <w:tcPr>
            <w:tcW w:w="524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12.5</w:t>
            </w:r>
          </w:p>
        </w:tc>
        <w:tc>
          <w:tcPr>
            <w:tcW w:w="599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</w:pPr>
            <w:r>
              <w:t>340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11.7</w:t>
            </w:r>
          </w:p>
        </w:tc>
        <w:tc>
          <w:tcPr>
            <w:tcW w:w="525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12.5</w:t>
            </w:r>
          </w:p>
        </w:tc>
        <w:tc>
          <w:tcPr>
            <w:tcW w:w="524" w:type="pct"/>
            <w:tcBorders>
              <w:bottom w:val="single" w:color="000000" w:sz="6" w:space="0"/>
            </w:tcBorders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11" w:type="pct"/>
            <w:vAlign w:val="center"/>
          </w:tcPr>
          <w:p>
            <w:pPr>
              <w:spacing w:line="200" w:lineRule="atLeast"/>
              <w:jc w:val="center"/>
              <w:rPr>
                <w:vertAlign w:val="superscript"/>
                <w:lang w:val="el-GR"/>
              </w:rPr>
            </w:pPr>
            <w:r>
              <w:t>170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94" w:type="pct"/>
            <w:vAlign w:val="center"/>
          </w:tcPr>
          <w:p>
            <w:pPr>
              <w:spacing w:line="200" w:lineRule="atLeast"/>
              <w:jc w:val="center"/>
              <w:rPr>
                <w:rFonts w:hint="default" w:eastAsia="宋体"/>
                <w:vertAlign w:val="superscript"/>
                <w:lang w:val="en-US" w:eastAsia="zh-CN"/>
              </w:rPr>
            </w:pPr>
            <w:r>
              <w:rPr>
                <w:rFonts w:hint="eastAsia"/>
                <w:vertAlign w:val="superscript"/>
                <w:lang w:val="en-US" w:eastAsia="zh-CN"/>
              </w:rPr>
              <w:t>3.02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7.36</w:t>
            </w:r>
          </w:p>
        </w:tc>
        <w:tc>
          <w:tcPr>
            <w:tcW w:w="599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  <w:tc>
          <w:tcPr>
            <w:tcW w:w="899" w:type="pct"/>
            <w:vAlign w:val="center"/>
          </w:tcPr>
          <w:p>
            <w:pPr>
              <w:spacing w:line="200" w:lineRule="atLeast"/>
              <w:jc w:val="center"/>
            </w:pPr>
            <w:r>
              <w:t>350</w:t>
            </w:r>
            <w:r>
              <w:rPr>
                <w:rFonts w:hint="eastAsia" w:ascii="宋体" w:hAnsi="宋体"/>
                <w:sz w:val="24"/>
              </w:rPr>
              <w:t>°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3.02</w:t>
            </w:r>
          </w:p>
        </w:tc>
        <w:tc>
          <w:tcPr>
            <w:tcW w:w="525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7.36</w:t>
            </w:r>
          </w:p>
        </w:tc>
        <w:tc>
          <w:tcPr>
            <w:tcW w:w="524" w:type="pct"/>
            <w:vAlign w:val="center"/>
          </w:tcPr>
          <w:p>
            <w:pPr>
              <w:spacing w:line="200" w:lineRule="atLeas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</w:t>
            </w:r>
          </w:p>
        </w:tc>
      </w:tr>
    </w:tbl>
    <w:p>
      <w:pPr>
        <w:spacing w:line="200" w:lineRule="atLeast"/>
        <w:ind w:firstLine="4223" w:firstLineChars="2011"/>
      </w:pPr>
      <w:r>
        <w:drawing>
          <wp:inline distT="0" distB="0" distL="114300" distR="114300">
            <wp:extent cx="1432560" cy="1783080"/>
            <wp:effectExtent l="0" t="0" r="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59450" cy="3639820"/>
            <wp:effectExtent l="0" t="0" r="1270" b="254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5" w:type="default"/>
      <w:headerReference r:id="rId4" w:type="even"/>
      <w:footerReference r:id="rId6" w:type="even"/>
      <w:type w:val="continuous"/>
      <w:pgSz w:w="11907" w:h="16839"/>
      <w:pgMar w:top="1418" w:right="1134" w:bottom="1418" w:left="1134" w:header="850" w:footer="567" w:gutter="567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59962000"/>
      <w:docPartObj>
        <w:docPartGallery w:val="autotext"/>
      </w:docPartObj>
    </w:sdtPr>
    <w:sdtContent>
      <w:p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8171420"/>
      <w:docPartObj>
        <w:docPartGallery w:val="autotext"/>
      </w:docPartObj>
    </w:sdtPr>
    <w:sdtContent>
      <w:p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single" w:color="auto" w:sz="6" w:space="0"/>
      </w:pBdr>
      <w:rPr>
        <w:sz w:val="24"/>
      </w:rPr>
    </w:pPr>
    <w:r>
      <w:rPr>
        <w:rFonts w:hint="eastAsia" w:eastAsia="华文新魏"/>
        <w:b/>
        <w:bCs/>
        <w:sz w:val="21"/>
      </w:rPr>
      <w:t>北京邮电大学物理实验要求及原始数据表格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right="360"/>
    </w:pPr>
    <w:r>
      <w:rPr>
        <w:rFonts w:hint="eastAsia" w:eastAsia="华文新魏"/>
        <w:b/>
        <w:bCs/>
        <w:sz w:val="21"/>
      </w:rPr>
      <w:t>北京邮电大学物理实验要求及原始数据表格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651160"/>
    <w:multiLevelType w:val="multilevel"/>
    <w:tmpl w:val="2A651160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default" w:ascii="Times New Roman" w:hAnsi="Times New Roman" w:cs="Times New Roman"/>
        <w:sz w:val="21"/>
        <w:szCs w:val="21"/>
      </w:rPr>
    </w:lvl>
    <w:lvl w:ilvl="1" w:tentative="0">
      <w:start w:val="5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default" w:eastAsia="宋体"/>
        <w:b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E9E13F4"/>
    <w:multiLevelType w:val="multilevel"/>
    <w:tmpl w:val="2E9E13F4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 w:eastAsia="黑体"/>
        <w:b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6B5A10"/>
    <w:multiLevelType w:val="multilevel"/>
    <w:tmpl w:val="4D6B5A1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AFA"/>
    <w:rsid w:val="00001FD1"/>
    <w:rsid w:val="00013F6F"/>
    <w:rsid w:val="00017CB1"/>
    <w:rsid w:val="0003092E"/>
    <w:rsid w:val="000379D2"/>
    <w:rsid w:val="00044A01"/>
    <w:rsid w:val="0004621D"/>
    <w:rsid w:val="000524BE"/>
    <w:rsid w:val="000A51D7"/>
    <w:rsid w:val="000B4D64"/>
    <w:rsid w:val="000F0925"/>
    <w:rsid w:val="00103404"/>
    <w:rsid w:val="00154716"/>
    <w:rsid w:val="00157D92"/>
    <w:rsid w:val="0016569A"/>
    <w:rsid w:val="001A1AB8"/>
    <w:rsid w:val="001D38D0"/>
    <w:rsid w:val="001E0C56"/>
    <w:rsid w:val="00207BC8"/>
    <w:rsid w:val="00211DB1"/>
    <w:rsid w:val="00214768"/>
    <w:rsid w:val="002244DE"/>
    <w:rsid w:val="00232A46"/>
    <w:rsid w:val="0029628B"/>
    <w:rsid w:val="002E71DF"/>
    <w:rsid w:val="0030370D"/>
    <w:rsid w:val="003045F5"/>
    <w:rsid w:val="00371B10"/>
    <w:rsid w:val="003A22D2"/>
    <w:rsid w:val="003C03F6"/>
    <w:rsid w:val="003D0C7E"/>
    <w:rsid w:val="003D66E2"/>
    <w:rsid w:val="003F3B44"/>
    <w:rsid w:val="00433B65"/>
    <w:rsid w:val="00440256"/>
    <w:rsid w:val="00462D65"/>
    <w:rsid w:val="00466AD0"/>
    <w:rsid w:val="00480C5C"/>
    <w:rsid w:val="00491979"/>
    <w:rsid w:val="004967E8"/>
    <w:rsid w:val="004A066F"/>
    <w:rsid w:val="00504765"/>
    <w:rsid w:val="0051563A"/>
    <w:rsid w:val="005B22C7"/>
    <w:rsid w:val="00602B50"/>
    <w:rsid w:val="00615D00"/>
    <w:rsid w:val="00635A47"/>
    <w:rsid w:val="00642B38"/>
    <w:rsid w:val="00644E8A"/>
    <w:rsid w:val="00654CC6"/>
    <w:rsid w:val="00693703"/>
    <w:rsid w:val="006A0ED8"/>
    <w:rsid w:val="006E34F6"/>
    <w:rsid w:val="006E4E93"/>
    <w:rsid w:val="00713300"/>
    <w:rsid w:val="00723700"/>
    <w:rsid w:val="0072620B"/>
    <w:rsid w:val="007263F8"/>
    <w:rsid w:val="00744B23"/>
    <w:rsid w:val="007726FA"/>
    <w:rsid w:val="00791C64"/>
    <w:rsid w:val="007A1477"/>
    <w:rsid w:val="007A4AB3"/>
    <w:rsid w:val="007B5635"/>
    <w:rsid w:val="007B6D11"/>
    <w:rsid w:val="007C00A0"/>
    <w:rsid w:val="007C416E"/>
    <w:rsid w:val="00840077"/>
    <w:rsid w:val="00851FA5"/>
    <w:rsid w:val="00855AE5"/>
    <w:rsid w:val="00863BC6"/>
    <w:rsid w:val="00894922"/>
    <w:rsid w:val="00896F1B"/>
    <w:rsid w:val="008A48D9"/>
    <w:rsid w:val="008B602C"/>
    <w:rsid w:val="008B73CF"/>
    <w:rsid w:val="0093096E"/>
    <w:rsid w:val="009508CB"/>
    <w:rsid w:val="00984CEC"/>
    <w:rsid w:val="009933B7"/>
    <w:rsid w:val="00995FEC"/>
    <w:rsid w:val="009A36D4"/>
    <w:rsid w:val="009B0639"/>
    <w:rsid w:val="009C3A56"/>
    <w:rsid w:val="009D23E4"/>
    <w:rsid w:val="009D2BDF"/>
    <w:rsid w:val="00A0169A"/>
    <w:rsid w:val="00A34AFA"/>
    <w:rsid w:val="00A464F0"/>
    <w:rsid w:val="00A838C3"/>
    <w:rsid w:val="00A94BB3"/>
    <w:rsid w:val="00AB1A4D"/>
    <w:rsid w:val="00AC4255"/>
    <w:rsid w:val="00B3056A"/>
    <w:rsid w:val="00B42EF7"/>
    <w:rsid w:val="00B83704"/>
    <w:rsid w:val="00BA2D66"/>
    <w:rsid w:val="00BB5F7F"/>
    <w:rsid w:val="00BB7A1A"/>
    <w:rsid w:val="00BD3D65"/>
    <w:rsid w:val="00BE0956"/>
    <w:rsid w:val="00C24FC6"/>
    <w:rsid w:val="00C51D74"/>
    <w:rsid w:val="00C656FE"/>
    <w:rsid w:val="00C752DF"/>
    <w:rsid w:val="00C81136"/>
    <w:rsid w:val="00CB2299"/>
    <w:rsid w:val="00CB2356"/>
    <w:rsid w:val="00CC30E3"/>
    <w:rsid w:val="00CE054D"/>
    <w:rsid w:val="00CF2AAD"/>
    <w:rsid w:val="00D02D33"/>
    <w:rsid w:val="00D11CEE"/>
    <w:rsid w:val="00D13DD3"/>
    <w:rsid w:val="00D2002A"/>
    <w:rsid w:val="00D42AF3"/>
    <w:rsid w:val="00D457BE"/>
    <w:rsid w:val="00D5155A"/>
    <w:rsid w:val="00D92594"/>
    <w:rsid w:val="00D9630F"/>
    <w:rsid w:val="00DD7286"/>
    <w:rsid w:val="00DE2E17"/>
    <w:rsid w:val="00DE6F4D"/>
    <w:rsid w:val="00E05BB2"/>
    <w:rsid w:val="00E137DF"/>
    <w:rsid w:val="00E24080"/>
    <w:rsid w:val="00E33CB3"/>
    <w:rsid w:val="00E50249"/>
    <w:rsid w:val="00EA55EF"/>
    <w:rsid w:val="00EB1859"/>
    <w:rsid w:val="00EB5479"/>
    <w:rsid w:val="00EB55D1"/>
    <w:rsid w:val="00ED1B5C"/>
    <w:rsid w:val="00ED69E0"/>
    <w:rsid w:val="00EE12AD"/>
    <w:rsid w:val="00EE2498"/>
    <w:rsid w:val="00F10D8D"/>
    <w:rsid w:val="00F14A66"/>
    <w:rsid w:val="00F216E5"/>
    <w:rsid w:val="00F370F8"/>
    <w:rsid w:val="00F51447"/>
    <w:rsid w:val="00F910AF"/>
    <w:rsid w:val="00F94C9A"/>
    <w:rsid w:val="00FA10DD"/>
    <w:rsid w:val="00FB1F87"/>
    <w:rsid w:val="5AD90423"/>
    <w:rsid w:val="6A622856"/>
    <w:rsid w:val="7770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3"/>
    <w:basedOn w:val="1"/>
    <w:uiPriority w:val="0"/>
    <w:pPr>
      <w:ind w:left="100" w:leftChars="400" w:hanging="200" w:hangingChars="200"/>
    </w:pPr>
  </w:style>
  <w:style w:type="paragraph" w:styleId="4">
    <w:name w:val="Normal Indent"/>
    <w:basedOn w:val="1"/>
    <w:uiPriority w:val="0"/>
    <w:pPr>
      <w:ind w:firstLine="420" w:firstLineChars="200"/>
    </w:pPr>
    <w:rPr>
      <w:rFonts w:cs="Arial"/>
      <w:iCs/>
    </w:rPr>
  </w:style>
  <w:style w:type="paragraph" w:styleId="5">
    <w:name w:val="Body Text"/>
    <w:basedOn w:val="1"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spacing w:line="200" w:lineRule="atLeast"/>
      <w:ind w:firstLine="420"/>
    </w:pPr>
    <w:rPr>
      <w:szCs w:val="20"/>
    </w:rPr>
  </w:style>
  <w:style w:type="paragraph" w:styleId="7">
    <w:name w:val="List 2"/>
    <w:basedOn w:val="1"/>
    <w:uiPriority w:val="0"/>
    <w:pPr>
      <w:ind w:left="100" w:leftChars="200" w:hanging="200" w:hangingChars="200"/>
    </w:pPr>
  </w:style>
  <w:style w:type="paragraph" w:styleId="8">
    <w:name w:val="List Continue"/>
    <w:basedOn w:val="1"/>
    <w:uiPriority w:val="0"/>
    <w:pPr>
      <w:spacing w:after="120"/>
      <w:ind w:left="420" w:leftChars="200"/>
    </w:pPr>
  </w:style>
  <w:style w:type="paragraph" w:styleId="9">
    <w:name w:val="Balloon Text"/>
    <w:basedOn w:val="1"/>
    <w:link w:val="20"/>
    <w:qFormat/>
    <w:uiPriority w:val="0"/>
    <w:rPr>
      <w:sz w:val="18"/>
      <w:szCs w:val="18"/>
    </w:rPr>
  </w:style>
  <w:style w:type="paragraph" w:styleId="10">
    <w:name w:val="footer"/>
    <w:basedOn w:val="1"/>
    <w:link w:val="2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List"/>
    <w:basedOn w:val="1"/>
    <w:uiPriority w:val="0"/>
    <w:pPr>
      <w:ind w:left="200" w:hanging="200" w:hangingChars="200"/>
    </w:pPr>
  </w:style>
  <w:style w:type="paragraph" w:styleId="13">
    <w:name w:val="List 5"/>
    <w:basedOn w:val="1"/>
    <w:uiPriority w:val="0"/>
    <w:pPr>
      <w:ind w:left="100" w:leftChars="800" w:hanging="200" w:hangingChars="200"/>
    </w:pPr>
  </w:style>
  <w:style w:type="paragraph" w:styleId="14">
    <w:name w:val="List 4"/>
    <w:basedOn w:val="1"/>
    <w:uiPriority w:val="0"/>
    <w:pPr>
      <w:ind w:left="100" w:leftChars="600" w:hanging="200" w:hangingChars="200"/>
    </w:p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uiPriority w:val="0"/>
  </w:style>
  <w:style w:type="character" w:styleId="19">
    <w:name w:val="Placeholder Text"/>
    <w:basedOn w:val="17"/>
    <w:semiHidden/>
    <w:qFormat/>
    <w:uiPriority w:val="99"/>
    <w:rPr>
      <w:color w:val="808080"/>
    </w:rPr>
  </w:style>
  <w:style w:type="character" w:customStyle="1" w:styleId="20">
    <w:name w:val="批注框文本 字符"/>
    <w:basedOn w:val="17"/>
    <w:link w:val="9"/>
    <w:qFormat/>
    <w:uiPriority w:val="0"/>
    <w:rPr>
      <w:kern w:val="2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页脚 字符"/>
    <w:basedOn w:val="17"/>
    <w:link w:val="10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jpeg"/><Relationship Id="rId15" Type="http://schemas.openxmlformats.org/officeDocument/2006/relationships/oleObject" Target="embeddings/oleObject3.bin"/><Relationship Id="rId14" Type="http://schemas.openxmlformats.org/officeDocument/2006/relationships/oleObject" Target="embeddings/oleObject2.bin"/><Relationship Id="rId13" Type="http://schemas.openxmlformats.org/officeDocument/2006/relationships/image" Target="media/image5.wmf"/><Relationship Id="rId12" Type="http://schemas.openxmlformats.org/officeDocument/2006/relationships/oleObject" Target="embeddings/oleObject1.bin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\teach\&#35762;&#20041;&#30456;&#20851;\2016&#24180;&#32534;&#20889;&#35762;&#20041;\&#29289;&#29702;&#23454;&#39564;&#65288;2&#65289;\&#25913;&#22909;&#30340;\&#25968;&#25454;&#34920;&#26684;\&#23454;&#39564;3&#20809;&#30340;&#20559;&#25391;&#34920;&#26684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实验3光的偏振表格.dotx</Template>
  <Company>lab</Company>
  <Pages>2</Pages>
  <Words>162</Words>
  <Characters>929</Characters>
  <Lines>7</Lines>
  <Paragraphs>2</Paragraphs>
  <TotalTime>1</TotalTime>
  <ScaleCrop>false</ScaleCrop>
  <LinksUpToDate>false</LinksUpToDate>
  <CharactersWithSpaces>1089</CharactersWithSpaces>
  <Application>WPS Office_11.1.0.11579_F1E327BC-269C-435d-A152-05C5408002CA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2019-05-22T08:48:00Z</dcterms:created>
  <dc:creator>dell</dc:creator>
  <cp:lastModifiedBy>Nobody?</cp:lastModifiedBy>
  <cp:lastPrinted>2021-08-07T02:56:00Z</cp:lastPrinted>
  <dcterms:modified xsi:type="dcterms:W3CDTF">2022-06-07T13:44:02Z</dcterms:modified>
  <dc:title>实验名称   分光计的调整与使用</dc:title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2052-11.1.0.11579</vt:lpwstr>
  </property>
  <property fmtid="{D5CDD505-2E9C-101B-9397-08002B2CF9AE}" pid="4" name="ICV">
    <vt:lpwstr>CBBB7570CC3F4ED5A8169E18521AF3A6</vt:lpwstr>
  </property>
</Properties>
</file>