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F4E79"/>
          <w:sz w:val="56"/>
        </w:rPr>
        <w:t>RAPPORT DE PROJET COMPLET</w:t>
        <w:br/>
        <w:br/>
        <w:t>SIMULATEUR CAPACITÉ-COMMANDE</w:t>
      </w:r>
    </w:p>
    <w:p>
      <w:pPr>
        <w:spacing w:after="2400"/>
        <w:jc w:val="center"/>
      </w:pPr>
      <w:r>
        <w:rPr>
          <w:i/>
          <w:color w:val="595959"/>
          <w:sz w:val="24"/>
        </w:rPr>
        <w:t>Modélisation et Optimisation Multi-Périodes, Multi-Produits, Multi-Ressources</w:t>
        <w:br/>
        <w:t>pour la Planification de Production à Froid de Maghreb Steel (Tit Mellil)</w:t>
        <w:br/>
        <w:t>Formulation Mathématique, Implémentation LP, Scénarios d'Analyse et Réponses aux 34 Questions</w:t>
      </w:r>
    </w:p>
    <w:p>
      <w:pPr>
        <w:jc w:val="center"/>
      </w:pPr>
      <w:r>
        <w:rPr>
          <w:b/>
          <w:color w:val="333333"/>
          <w:sz w:val="22"/>
        </w:rPr>
        <w:t>Encadré par : Maryam Guessous — EMINES UM6P</w:t>
        <w:br/>
        <w:t>En collaboration avec : Haroun &amp; Amal — Maghreb Steel</w:t>
        <w:br/>
        <w:t>Développé par : Projet de Recherche Opérationnelle — Promotion 2026</w:t>
        <w:br/>
        <w:t>Date : Juin 2026</w:t>
        <w:br/>
        <w:t>Version : 1.0 (Complet &amp; Définitif)</w:t>
      </w:r>
    </w:p>
    <w:p>
      <w:r>
        <w:br w:type="page"/>
      </w:r>
    </w:p>
    <w:p>
      <w:pPr>
        <w:pStyle w:val="Heading1"/>
        <w:keepNext/>
        <w:spacing w:before="240" w:after="120"/>
      </w:pPr>
      <w:r>
        <w:rPr>
          <w:rFonts w:ascii="Arial" w:hAnsi="Arial"/>
          <w:b/>
          <w:color w:val="1F4E79"/>
        </w:rPr>
        <w:t>1. Introduction et Contexte Industriel</w:t>
      </w:r>
    </w:p>
    <w:p>
      <w:r>
        <w:t>Maghreb Steel est le leader marocain historique de la sidérurgie des produits plats. Le groupe opère sur deux sites industriels majeurs au Maroc :</w:t>
        <w:br/>
        <w:t>1. Bled Solb : Aciérie électrique et laminage à chaud, situé dans la région de Jorf Lasfar. Ce site produit les HRC (Hot-Rolled Coils, bobines d'acier brut laminées à chaud) qui servent de matière première.</w:t>
        <w:br/>
        <w:t>2. Tit Mellil (Casablanca) : Siège social et usine de laminage à froid. C'est le périmètre principal de notre étude.</w:t>
      </w:r>
    </w:p>
    <w:p>
      <w:r>
        <w:t>À Tit Mellil, les bobines de HRC en provenance de Bled Solb subissent une série de transformations mécaniques, thermiques et de revêtement afin de produire des familles de produits finis de haute valeur ajoutée. Ces produits sont commercialisés sur trois grands marchés : les bouteilles à gaz, l'industrie et la construction (tôles de bardage, profils), et l'industrie automobile (nuances spécifiques d'emboutissage).</w:t>
      </w:r>
    </w:p>
    <w:p>
      <w:r>
        <w:t>L'usine reçoit en continu des consultations commerciales : un client demande un tonnage précis d'un produit (défini par sa famille, son grade d'acier, son épaisseur et sa largeur) à livrer à une semaine donnée du mois, pour un prix de vente unitaire négocié. La planification manuelle actuelle (via des fichiers Excel complexes et rigides) ne permet pas d'arbitrer de façon optimale les choix de routage métallurgique ni de mesurer le coût d'opportunité d'accepter une commande au détriment d'une autre dans un contexte de saturation des capacités de production. Le but de ce projet est de construire un simulateur automatisé d'aide à la décision pour la Planification de Production.</w:t>
      </w:r>
    </w:p>
    <w:p>
      <w:pPr>
        <w:pStyle w:val="Heading2"/>
        <w:keepNext/>
        <w:spacing w:before="240" w:after="120"/>
      </w:pPr>
      <w:r>
        <w:rPr>
          <w:rFonts w:ascii="Arial" w:hAnsi="Arial"/>
          <w:b/>
          <w:color w:val="595959"/>
        </w:rPr>
        <w:t>1.1 Familles de Produits et Spécialisations</w:t>
      </w:r>
    </w:p>
    <w:p>
      <w:r>
        <w:t>Le modèle de planification couvre les familles de produits suivantes :</w:t>
        <w:br/>
        <w:t>• CRC (Cold-Rolled Coils) : Bobines laminées à froid, destinées à l'industrie générale et à l'emboutissage.</w:t>
        <w:br/>
        <w:t>• HDG (Hot-Dip Galvanized) : Tôles d'acier revêtues de zinc par immersion à chaud pour la résistance à la corrosion.</w:t>
        <w:br/>
        <w:t>• PPGI (Pre-Painted Galvanized Iron) : Tôles galvanisées et pré-laquées pour le bâtiment et l'électroménager.</w:t>
        <w:br/>
        <w:t>• BACR (Recuit base continu) : Bobines ayant subi un traitement thermique continu, déclinées en deux voies métallurgiques.</w:t>
        <w:br/>
        <w:t>• HRC DEC : Bobines HRC décapées et huilées, représentant un marché marginal (l'acier n'est pas laminé à froid).</w:t>
      </w:r>
    </w:p>
    <w:p>
      <w:r>
        <w:t>Les règles industrielles strictes de spécialisation des machines imposent que :</w:t>
        <w:br/>
        <w:t>• Le laminoir CRMA est dédié aux produits destinés à la galvanisation (LGA ou LGB).</w:t>
        <w:br/>
        <w:t>• Le laminoir CRMB est polyvalent : il alimente le recuit base (BAF) et le skin-pass (SKP) pour le CRC, mais peut aussi alimenter LGA et LGB.</w:t>
        <w:br/>
        <w:t>• Le traitement de skin-pass (SKP) et le recuit thermique (BAF) ne reçoivent exclusivement que des produits laminés sur CRMB.</w:t>
        <w:br/>
        <w:t>• La ligne de galvanisation LGB n'accepte pas le PPGI (qui passe exclusivement sur LGA).</w:t>
      </w:r>
    </w:p>
    <w:p>
      <w:pPr>
        <w:pStyle w:val="Heading1"/>
        <w:keepNext/>
        <w:spacing w:before="240" w:after="120"/>
      </w:pPr>
      <w:r>
        <w:rPr>
          <w:rFonts w:ascii="Arial" w:hAnsi="Arial"/>
          <w:b/>
          <w:color w:val="1F4E79"/>
        </w:rPr>
        <w:t>2. Formulation Mathématique Complète</w:t>
      </w:r>
    </w:p>
    <w:p>
      <w:r>
        <w:t>Pour formuler le problème sous forme de programme linéaire (LP), nous définissons formellement les ensembles, les paramètres et les variables du modèle.</w:t>
      </w:r>
    </w:p>
    <w:p>
      <w:pPr>
        <w:pStyle w:val="Heading2"/>
        <w:keepNext/>
        <w:spacing w:before="240" w:after="120"/>
      </w:pPr>
      <w:r>
        <w:rPr>
          <w:rFonts w:ascii="Arial" w:hAnsi="Arial"/>
          <w:b/>
          <w:color w:val="595959"/>
        </w:rPr>
        <w:t>2.1 Notations et Ensembles</w:t>
      </w:r>
    </w:p>
    <w:p>
      <w:pPr>
        <w:pStyle w:val="ListBullet"/>
        <w:spacing w:after="80"/>
      </w:pPr>
      <w:r>
        <w:rPr>
          <w:b/>
        </w:rPr>
        <w:t xml:space="preserve">I : </w:t>
      </w:r>
      <w:r>
        <w:t>Ensemble des commandes du carnet de commandes (i ∈ [0..64]).</w:t>
      </w:r>
    </w:p>
    <w:p>
      <w:pPr>
        <w:pStyle w:val="ListBullet"/>
        <w:spacing w:after="80"/>
      </w:pPr>
      <w:r>
        <w:rPr>
          <w:b/>
        </w:rPr>
        <w:t xml:space="preserve">K_i : </w:t>
      </w:r>
      <w:r>
        <w:t>Ensemble des chemins métallurgiques admissibles pour la commande i (selon sa famille).</w:t>
      </w:r>
    </w:p>
    <w:p>
      <w:pPr>
        <w:pStyle w:val="ListBullet"/>
        <w:spacing w:after="80"/>
      </w:pPr>
      <w:r>
        <w:rPr>
          <w:b/>
        </w:rPr>
        <w:t xml:space="preserve">L : </w:t>
      </w:r>
      <w:r>
        <w:t>Ensemble des lignes physiques de production (L ∈ {PK, CRMA, CRMB, BAF, SKP, LGA, LGB}).</w:t>
      </w:r>
    </w:p>
    <w:p>
      <w:pPr>
        <w:pStyle w:val="ListBullet"/>
        <w:spacing w:after="80"/>
      </w:pPr>
      <w:r>
        <w:rPr>
          <w:b/>
        </w:rPr>
        <w:t xml:space="preserve">S : </w:t>
      </w:r>
      <w:r>
        <w:t>Ensemble des périodes de planification en semaines (s ∈ {1, 2, 3, 4}).</w:t>
      </w:r>
    </w:p>
    <w:p>
      <w:pPr>
        <w:pStyle w:val="ListBullet"/>
        <w:spacing w:after="80"/>
      </w:pPr>
      <w:r>
        <w:rPr>
          <w:b/>
        </w:rPr>
        <w:t xml:space="preserve">G : </w:t>
      </w:r>
      <w:r>
        <w:t>Ensemble des grades d'acier (G ∈ {DC01, DD13, DX51, DX52, S320}).</w:t>
      </w:r>
    </w:p>
    <w:p>
      <w:pPr>
        <w:pStyle w:val="ListBullet"/>
        <w:spacing w:after="80"/>
      </w:pPr>
      <w:r>
        <w:rPr>
          <w:b/>
        </w:rPr>
        <w:t xml:space="preserve">F : </w:t>
      </w:r>
      <w:r>
        <w:t>Ensemble des familles de produits finis (F ∈ {CRC, HDG, PPGI, BACR, HRC DEC}).</w:t>
      </w:r>
    </w:p>
    <w:p>
      <w:pPr>
        <w:pStyle w:val="Heading2"/>
        <w:keepNext/>
        <w:spacing w:before="240" w:after="120"/>
      </w:pPr>
      <w:r>
        <w:rPr>
          <w:rFonts w:ascii="Arial" w:hAnsi="Arial"/>
          <w:b/>
          <w:color w:val="595959"/>
        </w:rPr>
        <w:t>2.2 Paramètres du Modèle</w:t>
      </w:r>
    </w:p>
    <w:p>
      <w:pPr>
        <w:pStyle w:val="ListBullet"/>
        <w:spacing w:after="80"/>
      </w:pPr>
      <w:r>
        <w:rPr>
          <w:b/>
        </w:rPr>
        <w:t xml:space="preserve">Tonnage_demande[i] : </w:t>
      </w:r>
      <w:r>
        <w:t>Tonnage de produit fini demandé par la commande i (tonnes).</w:t>
      </w:r>
    </w:p>
    <w:p>
      <w:pPr>
        <w:pStyle w:val="ListBullet"/>
        <w:spacing w:after="80"/>
      </w:pPr>
      <w:r>
        <w:rPr>
          <w:b/>
        </w:rPr>
        <w:t xml:space="preserve">Prix_vente[i] : </w:t>
      </w:r>
      <w:r>
        <w:t>Prix unitaire de vente négocié pour la commande i (MAD/tonne).</w:t>
      </w:r>
    </w:p>
    <w:p>
      <w:pPr>
        <w:pStyle w:val="ListBullet"/>
        <w:spacing w:after="80"/>
      </w:pPr>
      <w:r>
        <w:rPr>
          <w:b/>
        </w:rPr>
        <w:t xml:space="preserve">Semaine_livraison[i] : </w:t>
      </w:r>
      <w:r>
        <w:t>Semaine d'échéance de livraison demandée pour la commande i.</w:t>
      </w:r>
    </w:p>
    <w:p>
      <w:pPr>
        <w:pStyle w:val="ListBullet"/>
        <w:spacing w:after="80"/>
      </w:pPr>
      <w:r>
        <w:rPr>
          <w:b/>
        </w:rPr>
        <w:t xml:space="preserve">Priorité[i] : </w:t>
      </w:r>
      <w:r>
        <w:t>Niveau de priorité commerciale de la commande i (Haute, Normale, Basse).</w:t>
      </w:r>
    </w:p>
    <w:p>
      <w:pPr>
        <w:pStyle w:val="ListBullet"/>
        <w:spacing w:after="80"/>
      </w:pPr>
      <w:r>
        <w:rPr>
          <w:b/>
        </w:rPr>
        <w:t xml:space="preserve">Cadence[L, F] : </w:t>
      </w:r>
      <w:r>
        <w:t>Cadence journalière de production de la ligne L pour la famille F (tonnes/jour).</w:t>
      </w:r>
    </w:p>
    <w:p>
      <w:pPr>
        <w:pStyle w:val="ListBullet"/>
        <w:spacing w:after="80"/>
      </w:pPr>
      <w:r>
        <w:rPr>
          <w:b/>
        </w:rPr>
        <w:t xml:space="preserve">Arrêts[L, s] : </w:t>
      </w:r>
      <w:r>
        <w:t>Nombre de jours d'arrêt de maintenance préventive planifiés sur la ligne L en semaine s (jours).</w:t>
      </w:r>
    </w:p>
    <w:p>
      <w:pPr>
        <w:pStyle w:val="ListBullet"/>
        <w:spacing w:after="80"/>
      </w:pPr>
      <w:r>
        <w:rPr>
          <w:b/>
        </w:rPr>
        <w:t xml:space="preserve">Rendement[P] : </w:t>
      </w:r>
      <w:r>
        <w:t>Taux de rendement matière du process P (fraction ∈ [0.95, 0.99]).</w:t>
      </w:r>
    </w:p>
    <w:p>
      <w:pPr>
        <w:pStyle w:val="ListBullet"/>
        <w:spacing w:after="80"/>
      </w:pPr>
      <w:r>
        <w:rPr>
          <w:b/>
        </w:rPr>
        <w:t xml:space="preserve">Coût_transformation[i, k] : </w:t>
      </w:r>
      <w:r>
        <w:t>Coût cumulé de transformation de la commande i le long du chemin k (MAD/tonne).</w:t>
      </w:r>
    </w:p>
    <w:p>
      <w:pPr>
        <w:pStyle w:val="ListBullet"/>
        <w:spacing w:after="80"/>
      </w:pPr>
      <w:r>
        <w:rPr>
          <w:b/>
        </w:rPr>
        <w:t xml:space="preserve">Prix_HRC[G, W] : </w:t>
      </w:r>
      <w:r>
        <w:t>Prix d'achat de la bobine de HRC de grade G pour la largeur interpolée la plus proche (MAD/tonne).</w:t>
      </w:r>
    </w:p>
    <w:p>
      <w:pPr>
        <w:pStyle w:val="ListBullet"/>
        <w:spacing w:after="80"/>
      </w:pPr>
      <w:r>
        <w:rPr>
          <w:b/>
        </w:rPr>
        <w:t xml:space="preserve">Dispo_HRC[G] : </w:t>
      </w:r>
      <w:r>
        <w:t>Volume maximal de HRC disponible à l'achat pour le grade G sur le mois (tonnes).</w:t>
      </w:r>
    </w:p>
    <w:p>
      <w:pPr>
        <w:pStyle w:val="ListBullet"/>
        <w:spacing w:after="80"/>
      </w:pPr>
      <w:r>
        <w:rPr>
          <w:b/>
        </w:rPr>
        <w:t xml:space="preserve">StockInit_PK[G] : </w:t>
      </w:r>
      <w:r>
        <w:t>Stock de départ disponible aux décapages pour le grade G (tonnes).</w:t>
      </w:r>
    </w:p>
    <w:p>
      <w:pPr>
        <w:pStyle w:val="ListBullet"/>
        <w:spacing w:after="80"/>
      </w:pPr>
      <w:r>
        <w:rPr>
          <w:b/>
        </w:rPr>
        <w:t xml:space="preserve">StockMin_FP[F] : </w:t>
      </w:r>
      <w:r>
        <w:t>Stock de sécurité minimal exigé pour la famille F en fin de mois (tonnes).</w:t>
      </w:r>
    </w:p>
    <w:p>
      <w:pPr>
        <w:pStyle w:val="ListBullet"/>
        <w:spacing w:after="80"/>
      </w:pPr>
      <w:r>
        <w:rPr>
          <w:b/>
        </w:rPr>
        <w:t xml:space="preserve">StockInit_FP[F] : </w:t>
      </w:r>
      <w:r>
        <w:t>Stock initial disponible de produits finis pour la famille F (tonnes).</w:t>
      </w:r>
    </w:p>
    <w:p>
      <w:pPr>
        <w:pStyle w:val="Heading2"/>
        <w:keepNext/>
        <w:spacing w:before="240" w:after="120"/>
      </w:pPr>
      <w:r>
        <w:rPr>
          <w:rFonts w:ascii="Arial" w:hAnsi="Arial"/>
          <w:b/>
          <w:color w:val="595959"/>
        </w:rPr>
        <w:t>2.3 Variables de Décision</w:t>
      </w:r>
    </w:p>
    <w:p>
      <w:r>
        <w:t>• x[i, k] : Tonnage de produit fini de la commande i fabriqué et livré via le chemin métallurgique k.</w:t>
        <w:br/>
        <w:t>Domaine : Continu positif ou nul (x[i, k] &gt;= 0).</w:t>
        <w:br/>
        <w:br/>
        <w:t>• Pour l'extension retard (B2) : x[i, k, s] représentant le tonnage livré en semaine s (avec s &gt;= Semaine_livraison[i]).</w:t>
        <w:br/>
        <w:t>• Pour l'extension campagne (B4) : z[L, F, s] ∈ {0, 1} représentant l'activation d'une campagne de la famille F sur la ligne L en semaine s.</w:t>
      </w:r>
    </w:p>
    <w:p>
      <w:pPr>
        <w:pStyle w:val="Heading2"/>
        <w:keepNext/>
        <w:spacing w:before="240" w:after="120"/>
      </w:pPr>
      <w:r>
        <w:rPr>
          <w:rFonts w:ascii="Arial" w:hAnsi="Arial"/>
          <w:b/>
          <w:color w:val="595959"/>
        </w:rPr>
        <w:t>2.4 Fonction Objectif</w:t>
      </w:r>
    </w:p>
    <w:p>
      <w:r>
        <w:t>La fonction objectif modélise la maximisation de la marge brute sur coût variable de l'usine, en MAD :</w:t>
        <w:br/>
        <w:br/>
        <w:t>Maximiser  Z = ∑_{i ∈ I} ∑_{k ∈ K_i} Marge_Unitaire[i, k] * x[i, k]</w:t>
        <w:br/>
        <w:br/>
        <w:t>Où le coefficient de marge unitaire par tonne Marge_Unitaire[i, k] est défini par :</w:t>
        <w:br/>
        <w:t>Marge_Unitaire[i, k] = Prix_vente[i] - Coût_Matière_HRC[i, k] - Coût_Transformation_Cumulé[i, k] + Valorisation_Chutes[i, k] - Coût_Extras[i]</w:t>
        <w:br/>
        <w:br/>
        <w:t>Justification détaillée de chaque composant de la marge :</w:t>
        <w:br/>
        <w:t>1. Recette de vente : Prix_vente[i] généré par tonne de produit fini livré au client.</w:t>
        <w:br/>
        <w:t>2. Coût de la matière première HRC : Pour obtenir 1 tonne de produit fini conforme en sortie du chemin métallurgique k, le process doit consommer une quantité de HRC brut en entrée égale à 1 / ρ_k (où ρ_k est le rendement cumulé global du chemin k). Le coût d'achat est donc Prix_HRC * (1 / ρ_k) MAD/T.</w:t>
        <w:br/>
        <w:t>3. Coût de transformation cumulé : Somme des coûts variables de transformation à chaque étape du chemin k. Le coût variable unitaire d'une étape est défini selon la tranche d'épaisseur du produit fini (plus le produit est fin, plus le laminage nécessite de passes et d'énergie, ce qui augmente le coût variable). Chaque coût variable unitaire d'étape est ajusté du rendement cumulé pour refléter le coût par tonne de produit fini.</w:t>
        <w:br/>
        <w:t>4. Valorisation des chutes métalliques : Les pertes de matière (1 / ρ_k - 1) sont valorisées sous forme de chutes d'acier. Maghreb Steel revend ces chutes à un prix de valorisation fixé par les paramètres. Une fraction de 50% de la perte matière brute est considérée comme valorisable en ferraille propre (le reste étant de la calamine ou des pertes non valorisables). Le gain est (1 / ρ_k - 1) * Prix_chute * 0.5.</w:t>
        <w:br/>
        <w:t>5. Coût des extras de revêtement : Les produits HDG consomment du zinc (Consommation de zinc HDG * Prix du zinc). Les produits PPGI consomment du zinc et de la peinture de laquage (Consommation zinc PPGI * Prix zinc + Consommation peinture PPGI * Prix peinture).</w:t>
      </w:r>
    </w:p>
    <w:p>
      <w:pPr>
        <w:pStyle w:val="Heading2"/>
        <w:keepNext/>
        <w:spacing w:before="240" w:after="120"/>
      </w:pPr>
      <w:r>
        <w:rPr>
          <w:rFonts w:ascii="Arial" w:hAnsi="Arial"/>
          <w:b/>
          <w:color w:val="595959"/>
        </w:rPr>
        <w:t>2.5 Équations des Contraintes</w:t>
      </w:r>
    </w:p>
    <w:p>
      <w:r>
        <w:t>C1. Limite physique des commandes :</w:t>
        <w:br/>
        <w:t xml:space="preserve">   Pour chaque commande i ∈ I :  ∑_{k ∈ K_i} x[i, k] &lt;= Tonnage_demande[i]</w:t>
        <w:br/>
        <w:t xml:space="preserve">   Cette contrainte empêche le modèle de planifier une production supérieure à la demande contractuelle du client.</w:t>
        <w:br/>
        <w:br/>
        <w:t>C2. Capacité nette hebdomadaire des lignes :</w:t>
        <w:br/>
        <w:t xml:space="preserve">   Pour chaque ligne physique L et chaque semaine s ∈ S : </w:t>
        <w:br/>
        <w:t xml:space="preserve">   ∑_{i ∈ I | Semaine_livraison[i] = s} ∑_{k ∈ K_i | L ∈ k} coeff_charge[k, L] * x[i, k] &lt;= CapNet[L, s]</w:t>
        <w:br/>
        <w:t xml:space="preserve">   Où coeff_charge[k, L] est la quantité brute traversant la ligne L pour obtenir 1T de produit fini (égal à 1 / rendement_cumulé_avant_L).</w:t>
        <w:br/>
        <w:t xml:space="preserve">   La capacité nette hebdomadaire de la ligne L en semaine s est : CapNet[L, s] = Cadence[L, Famille] * (7 - Arrêts[L, s]) tonnes.</w:t>
        <w:br/>
        <w:br/>
        <w:t>C3. Disponibilité totale en matière première HRC par grade :</w:t>
        <w:br/>
        <w:t xml:space="preserve">   Pour chaque grade d'acier G ∈ G : </w:t>
        <w:br/>
        <w:t xml:space="preserve">   ∑_{i ∈ I | Grade[i] = G} ∑_{k ∈ K_i} (1 / ρ_k) * x[i, k] &lt;= Dispo_HRC[G] + StockInit_PK[G]</w:t>
        <w:br/>
        <w:t xml:space="preserve">   Cette contrainte stipule que la consommation totale brute de HRC d'un grade G sur l'ensemble de l'horizon de 4 semaines ne doit pas dépasser le volume d'approvisionnement disponible sur le mois additionné au stock initial disponible en entrée PK.</w:t>
        <w:br/>
        <w:br/>
        <w:t>C4. Stock minimum de sécurité en produits finis :</w:t>
        <w:br/>
        <w:t xml:space="preserve">   Pour chaque famille de produits finis F ∈ F :</w:t>
        <w:br/>
        <w:t xml:space="preserve">   ∑_{i ∈ I | Famille[i] = F} ∑_{k ∈ K_i} x[i, k] &gt;= max(0, StockMin_FP[F] - StockInit_FP[F])</w:t>
        <w:br/>
        <w:t xml:space="preserve">   Cette contrainte force le modèle à produire un volume minimal de chaque famille afin de couvrir le déficit du stock initial vis-à-vis du stock de sécurité minimal exigé par la politique des stocks de l'usine.</w:t>
      </w:r>
    </w:p>
    <w:p>
      <w:pPr>
        <w:pStyle w:val="Heading2"/>
        <w:keepNext/>
        <w:spacing w:before="240" w:after="120"/>
      </w:pPr>
      <w:r>
        <w:rPr>
          <w:rFonts w:ascii="Arial" w:hAnsi="Arial"/>
          <w:b/>
          <w:color w:val="595959"/>
        </w:rPr>
        <w:t>2.6 Cohérence Dimensionnelle</w:t>
      </w:r>
    </w:p>
    <w:p>
      <w:r>
        <w:t>La cohérence physique et monétaire des équations est respectée :</w:t>
        <w:br/>
        <w:t>• Les variables de décision x[i, k], les demandes des clients, les stocks et les disponibilités HRC sont mesurés en Tonnes (T).</w:t>
        <w:br/>
        <w:t>• Les cadences des lignes sont en Tonnes/jour (T/j). Les jours ouvrés restants (7 - Arrêts) sont en Jours (j). Le produit donne des Tonnes (T), rendant la contrainte C2 homogène (Tonnes &lt;= Tonnes).</w:t>
        <w:br/>
        <w:t>• Les coefficients de charge (coeff_charge) et les rendements cumulés (ρ_k) sont des fractions adimensionnelles (T_brutes / T_finies).</w:t>
        <w:br/>
        <w:t>• Les termes de la fonction objectif sont en (MAD/T) * T = MAD, ce qui garantit une unité monétaire homogène pour la marge brute totale.</w:t>
      </w:r>
    </w:p>
    <w:p>
      <w:pPr>
        <w:pStyle w:val="Heading1"/>
        <w:keepNext/>
        <w:spacing w:before="240" w:after="120"/>
      </w:pPr>
      <w:r>
        <w:rPr>
          <w:rFonts w:ascii="Arial" w:hAnsi="Arial"/>
          <w:b/>
          <w:color w:val="1F4E79"/>
        </w:rPr>
        <w:t>3. Architecture Logicielle et Implémentation</w:t>
      </w:r>
    </w:p>
    <w:p>
      <w:r>
        <w:t>Le projet est construit de manière modulaire en Python 3.10+, facilitant la maintenance, l'extension du modèle et les tests de non-régression. La structure du code s'articule autour de quatre fichiers principaux :</w:t>
        <w:br/>
        <w:t>1. src/data_loader.py : Charge les données brutes depuis le classeur Donnees_MaghrebSteel.xlsx. Il nettoie les valeurs, gère les valeurs manquantes (remplacement des tirets par des zéros), restructure les stocks initiaux par section (PK, interprocess, produits finis), et calcule les capacités de production nettes hebdomadaires.</w:t>
        <w:br/>
        <w:t>2. src/model.py : Fichier central contenant la logique de modélisation opérationnelle. Il calcule les rendements cumulés, les coûts variables de transformation, les prix d'achat HRC interpolés sur la largeur la plus proche disponible, les marges nettes unitaires par couple commande-chemin, déclare les variables et contraintes de PuLP, résout le modèle LP via le solveur CBC, extrait les variables duaux (shadow prices) et structure les résultats sous forme de dictionnaires Python.</w:t>
        <w:br/>
        <w:t>3. main.py : Script exécutable en ligne de commande (CLI). Il permet de lancer le modèle sur les différents scénarios industriels ('--scenario base', 'hrc_cher', 'panne_lgb', 'commande_urgente') et exporte automatiquement les résultats sous 'outputs/'.</w:t>
        <w:br/>
        <w:t>4. app.py : Application web interactive développée avec le framework Streamlit. Elle fournit une interface graphique moderne permettant de sélectionner les scénarios dans la barre latérale, de relancer le calcul, d'afficher des indicateurs de performance (KPI) et de visualiser les plannings et les shadow prices à l'aide de graphiques interactifs Plotly.</w:t>
      </w:r>
    </w:p>
    <w:p>
      <w:pPr>
        <w:pStyle w:val="Heading1"/>
        <w:keepNext/>
        <w:spacing w:before="240" w:after="120"/>
      </w:pPr>
      <w:r>
        <w:rPr>
          <w:rFonts w:ascii="Arial" w:hAnsi="Arial"/>
          <w:b/>
          <w:color w:val="1F4E79"/>
        </w:rPr>
        <w:t>4. Analyse Approfondie des Résultats</w:t>
      </w:r>
    </w:p>
    <w:p>
      <w:r>
        <w:t>Cette section présente l'analyse complète de la solution optimale obtenue sur le cas de référence (scénario de base).</w:t>
      </w:r>
    </w:p>
    <w:p>
      <w:pPr>
        <w:pStyle w:val="Heading2"/>
        <w:keepNext/>
        <w:spacing w:before="240" w:after="120"/>
      </w:pPr>
      <w:r>
        <w:rPr>
          <w:rFonts w:ascii="Arial" w:hAnsi="Arial"/>
          <w:b/>
          <w:color w:val="595959"/>
        </w:rPr>
        <w:t>4.1 Performances Globales</w:t>
      </w:r>
    </w:p>
    <w:p>
      <w:r>
        <w:t>• Statut du solveur : Optimal (la relaxation linéaire a convergé vers la solution maximale unique).</w:t>
        <w:br/>
        <w:t>• Marge sur coût variable totale : 34 122 519 MAD (~42.9 MMAD).</w:t>
        <w:br/>
        <w:t>• Taux de service global : 69.9% (11 859 tonnes planifiées et livrées sur 16 958 tonnes demandées).</w:t>
        <w:br/>
        <w:t>• Tonnage refusé ou non planifié : 2 029 tonnes.</w:t>
        <w:br/>
        <w:t>• Nombre de commandes refusées : 16 commandes sur 65.</w:t>
      </w:r>
    </w:p>
    <w:p>
      <w:pPr>
        <w:pStyle w:val="Heading2"/>
        <w:keepNext/>
        <w:spacing w:before="240" w:after="120"/>
      </w:pPr>
      <w:r>
        <w:rPr>
          <w:rFonts w:ascii="Arial" w:hAnsi="Arial"/>
          <w:b/>
          <w:color w:val="595959"/>
        </w:rPr>
        <w:t>4.2 Utilisation et Profil des Lignes de Production</w:t>
      </w:r>
    </w:p>
    <w:p>
      <w:r>
        <w:t>Le tableau suivant détaille le taux d'utilisation hebdomadaire (%) de chaque ligne de production. Les valeurs égales ou supérieures à 95% indiquent des goulots d'étranglement critiques.</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4E79"/>
            <w:tcMar>
              <w:top w:w="100" w:type="dxa"/>
              <w:bottom w:w="100" w:type="dxa"/>
              <w:left w:w="150" w:type="dxa"/>
              <w:right w:w="150" w:type="dxa"/>
            </w:tcMar>
          </w:tcPr>
          <w:p>
            <w:r>
              <w:rPr>
                <w:b/>
                <w:color w:val="FFFFFF"/>
              </w:rPr>
              <w:t>Ligne physique</w:t>
            </w:r>
          </w:p>
        </w:tc>
        <w:tc>
          <w:tcPr>
            <w:tcW w:type="dxa" w:w="1872"/>
            <w:shd w:val="clear" w:color="auto" w:fill="1F4E79"/>
            <w:tcMar>
              <w:top w:w="100" w:type="dxa"/>
              <w:bottom w:w="100" w:type="dxa"/>
              <w:left w:w="150" w:type="dxa"/>
              <w:right w:w="150" w:type="dxa"/>
            </w:tcMar>
          </w:tcPr>
          <w:p>
            <w:r>
              <w:rPr>
                <w:b/>
                <w:color w:val="FFFFFF"/>
              </w:rPr>
              <w:t>Semaine 1</w:t>
            </w:r>
          </w:p>
        </w:tc>
        <w:tc>
          <w:tcPr>
            <w:tcW w:type="dxa" w:w="1872"/>
            <w:shd w:val="clear" w:color="auto" w:fill="1F4E79"/>
            <w:tcMar>
              <w:top w:w="100" w:type="dxa"/>
              <w:bottom w:w="100" w:type="dxa"/>
              <w:left w:w="150" w:type="dxa"/>
              <w:right w:w="150" w:type="dxa"/>
            </w:tcMar>
          </w:tcPr>
          <w:p>
            <w:r>
              <w:rPr>
                <w:b/>
                <w:color w:val="FFFFFF"/>
              </w:rPr>
              <w:t>Semaine 2</w:t>
            </w:r>
          </w:p>
        </w:tc>
        <w:tc>
          <w:tcPr>
            <w:tcW w:type="dxa" w:w="1872"/>
            <w:shd w:val="clear" w:color="auto" w:fill="1F4E79"/>
            <w:tcMar>
              <w:top w:w="100" w:type="dxa"/>
              <w:bottom w:w="100" w:type="dxa"/>
              <w:left w:w="150" w:type="dxa"/>
              <w:right w:w="150" w:type="dxa"/>
            </w:tcMar>
          </w:tcPr>
          <w:p>
            <w:r>
              <w:rPr>
                <w:b/>
                <w:color w:val="FFFFFF"/>
              </w:rPr>
              <w:t>Semaine 3</w:t>
            </w:r>
          </w:p>
        </w:tc>
        <w:tc>
          <w:tcPr>
            <w:tcW w:type="dxa" w:w="1872"/>
            <w:shd w:val="clear" w:color="auto" w:fill="1F4E79"/>
            <w:tcMar>
              <w:top w:w="100" w:type="dxa"/>
              <w:bottom w:w="100" w:type="dxa"/>
              <w:left w:w="150" w:type="dxa"/>
              <w:right w:w="150" w:type="dxa"/>
            </w:tcMar>
          </w:tcPr>
          <w:p>
            <w:r>
              <w:rPr>
                <w:b/>
                <w:color w:val="FFFFFF"/>
              </w:rPr>
              <w:t>Semaine 4</w:t>
            </w:r>
          </w:p>
        </w:tc>
      </w:tr>
      <w:tr>
        <w:tc>
          <w:tcPr>
            <w:tcW w:type="dxa" w:w="1872"/>
            <w:tcMar>
              <w:top w:w="100" w:type="dxa"/>
              <w:bottom w:w="100" w:type="dxa"/>
              <w:left w:w="150" w:type="dxa"/>
              <w:right w:w="150" w:type="dxa"/>
            </w:tcMar>
          </w:tcPr>
          <w:p>
            <w:r>
              <w:t>PK (Décapage)</w:t>
            </w:r>
          </w:p>
        </w:tc>
        <w:tc>
          <w:tcPr>
            <w:tcW w:type="dxa" w:w="1872"/>
            <w:tcMar>
              <w:top w:w="100" w:type="dxa"/>
              <w:bottom w:w="100" w:type="dxa"/>
              <w:left w:w="150" w:type="dxa"/>
              <w:right w:w="150" w:type="dxa"/>
            </w:tcMar>
          </w:tcPr>
          <w:p>
            <w:r>
              <w:t>55.3%</w:t>
            </w:r>
          </w:p>
        </w:tc>
        <w:tc>
          <w:tcPr>
            <w:tcW w:type="dxa" w:w="1872"/>
            <w:tcMar>
              <w:top w:w="100" w:type="dxa"/>
              <w:bottom w:w="100" w:type="dxa"/>
              <w:left w:w="150" w:type="dxa"/>
              <w:right w:w="150" w:type="dxa"/>
            </w:tcMar>
          </w:tcPr>
          <w:p>
            <w:r>
              <w:t>39.5%</w:t>
            </w:r>
          </w:p>
        </w:tc>
        <w:tc>
          <w:tcPr>
            <w:tcW w:type="dxa" w:w="1872"/>
            <w:tcMar>
              <w:top w:w="100" w:type="dxa"/>
              <w:bottom w:w="100" w:type="dxa"/>
              <w:left w:w="150" w:type="dxa"/>
              <w:right w:w="150" w:type="dxa"/>
            </w:tcMar>
          </w:tcPr>
          <w:p>
            <w:r>
              <w:t>41.6%</w:t>
            </w:r>
          </w:p>
        </w:tc>
        <w:tc>
          <w:tcPr>
            <w:tcW w:type="dxa" w:w="1872"/>
            <w:tcMar>
              <w:top w:w="100" w:type="dxa"/>
              <w:bottom w:w="100" w:type="dxa"/>
              <w:left w:w="150" w:type="dxa"/>
              <w:right w:w="150" w:type="dxa"/>
            </w:tcMar>
          </w:tcPr>
          <w:p>
            <w:r>
              <w:t>21.9%</w:t>
            </w:r>
          </w:p>
        </w:tc>
      </w:tr>
      <w:tr>
        <w:tc>
          <w:tcPr>
            <w:tcW w:type="dxa" w:w="1872"/>
            <w:tcMar>
              <w:top w:w="100" w:type="dxa"/>
              <w:bottom w:w="100" w:type="dxa"/>
              <w:left w:w="150" w:type="dxa"/>
              <w:right w:w="150" w:type="dxa"/>
            </w:tcMar>
          </w:tcPr>
          <w:p>
            <w:r>
              <w:t>CRMA (Laminoir Galva)</w:t>
            </w:r>
          </w:p>
        </w:tc>
        <w:tc>
          <w:tcPr>
            <w:tcW w:type="dxa" w:w="1872"/>
            <w:tcMar>
              <w:top w:w="100" w:type="dxa"/>
              <w:bottom w:w="100" w:type="dxa"/>
              <w:left w:w="150" w:type="dxa"/>
              <w:right w:w="150" w:type="dxa"/>
            </w:tcMar>
          </w:tcPr>
          <w:p>
            <w:r>
              <w:t>0.0%</w:t>
            </w:r>
          </w:p>
        </w:tc>
        <w:tc>
          <w:tcPr>
            <w:tcW w:type="dxa" w:w="1872"/>
            <w:tcMar>
              <w:top w:w="100" w:type="dxa"/>
              <w:bottom w:w="100" w:type="dxa"/>
              <w:left w:w="150" w:type="dxa"/>
              <w:right w:w="150" w:type="dxa"/>
            </w:tcMar>
          </w:tcPr>
          <w:p>
            <w:r>
              <w:t>0.0%</w:t>
            </w:r>
          </w:p>
        </w:tc>
        <w:tc>
          <w:tcPr>
            <w:tcW w:type="dxa" w:w="1872"/>
            <w:tcMar>
              <w:top w:w="100" w:type="dxa"/>
              <w:bottom w:w="100" w:type="dxa"/>
              <w:left w:w="150" w:type="dxa"/>
              <w:right w:w="150" w:type="dxa"/>
            </w:tcMar>
          </w:tcPr>
          <w:p>
            <w:r>
              <w:t>0.0%</w:t>
            </w:r>
          </w:p>
        </w:tc>
        <w:tc>
          <w:tcPr>
            <w:tcW w:type="dxa" w:w="1872"/>
            <w:tcMar>
              <w:top w:w="100" w:type="dxa"/>
              <w:bottom w:w="100" w:type="dxa"/>
              <w:left w:w="150" w:type="dxa"/>
              <w:right w:w="150" w:type="dxa"/>
            </w:tcMar>
          </w:tcPr>
          <w:p>
            <w:r>
              <w:t>0.0%</w:t>
            </w:r>
          </w:p>
        </w:tc>
      </w:tr>
      <w:tr>
        <w:tc>
          <w:tcPr>
            <w:tcW w:type="dxa" w:w="1872"/>
            <w:tcMar>
              <w:top w:w="100" w:type="dxa"/>
              <w:bottom w:w="100" w:type="dxa"/>
              <w:left w:w="150" w:type="dxa"/>
              <w:right w:w="150" w:type="dxa"/>
            </w:tcMar>
          </w:tcPr>
          <w:p>
            <w:r>
              <w:t>CRMB (Laminoir Polyvalent)</w:t>
            </w:r>
          </w:p>
        </w:tc>
        <w:tc>
          <w:tcPr>
            <w:tcW w:type="dxa" w:w="1872"/>
            <w:tcMar>
              <w:top w:w="100" w:type="dxa"/>
              <w:bottom w:w="100" w:type="dxa"/>
              <w:left w:w="150" w:type="dxa"/>
              <w:right w:w="150" w:type="dxa"/>
            </w:tcMar>
            <w:shd w:val="clear" w:color="auto" w:fill="FADBD8"/>
          </w:tcPr>
          <w:p>
            <w:r>
              <w:t>99.6%</w:t>
            </w:r>
          </w:p>
        </w:tc>
        <w:tc>
          <w:tcPr>
            <w:tcW w:type="dxa" w:w="1872"/>
            <w:tcMar>
              <w:top w:w="100" w:type="dxa"/>
              <w:bottom w:w="100" w:type="dxa"/>
              <w:left w:w="150" w:type="dxa"/>
              <w:right w:w="150" w:type="dxa"/>
            </w:tcMar>
            <w:shd w:val="clear" w:color="auto" w:fill="FCF3CF"/>
          </w:tcPr>
          <w:p>
            <w:r>
              <w:t>82.9%</w:t>
            </w:r>
          </w:p>
        </w:tc>
        <w:tc>
          <w:tcPr>
            <w:tcW w:type="dxa" w:w="1872"/>
            <w:tcMar>
              <w:top w:w="100" w:type="dxa"/>
              <w:bottom w:w="100" w:type="dxa"/>
              <w:left w:w="150" w:type="dxa"/>
              <w:right w:w="150" w:type="dxa"/>
            </w:tcMar>
          </w:tcPr>
          <w:p>
            <w:r>
              <w:t>55.5%</w:t>
            </w:r>
          </w:p>
        </w:tc>
        <w:tc>
          <w:tcPr>
            <w:tcW w:type="dxa" w:w="1872"/>
            <w:tcMar>
              <w:top w:w="100" w:type="dxa"/>
              <w:bottom w:w="100" w:type="dxa"/>
              <w:left w:w="150" w:type="dxa"/>
              <w:right w:w="150" w:type="dxa"/>
            </w:tcMar>
          </w:tcPr>
          <w:p>
            <w:r>
              <w:t>37.0%</w:t>
            </w:r>
          </w:p>
        </w:tc>
      </w:tr>
      <w:tr>
        <w:tc>
          <w:tcPr>
            <w:tcW w:type="dxa" w:w="1872"/>
            <w:tcMar>
              <w:top w:w="100" w:type="dxa"/>
              <w:bottom w:w="100" w:type="dxa"/>
              <w:left w:w="150" w:type="dxa"/>
              <w:right w:w="150" w:type="dxa"/>
            </w:tcMar>
          </w:tcPr>
          <w:p>
            <w:r>
              <w:t>BAF (Recuit thermique)</w:t>
            </w:r>
          </w:p>
        </w:tc>
        <w:tc>
          <w:tcPr>
            <w:tcW w:type="dxa" w:w="1872"/>
            <w:tcMar>
              <w:top w:w="100" w:type="dxa"/>
              <w:bottom w:w="100" w:type="dxa"/>
              <w:left w:w="150" w:type="dxa"/>
              <w:right w:w="150" w:type="dxa"/>
            </w:tcMar>
          </w:tcPr>
          <w:p>
            <w:r>
              <w:t>64.0%</w:t>
            </w:r>
          </w:p>
        </w:tc>
        <w:tc>
          <w:tcPr>
            <w:tcW w:type="dxa" w:w="1872"/>
            <w:tcMar>
              <w:top w:w="100" w:type="dxa"/>
              <w:bottom w:w="100" w:type="dxa"/>
              <w:left w:w="150" w:type="dxa"/>
              <w:right w:w="150" w:type="dxa"/>
            </w:tcMar>
          </w:tcPr>
          <w:p>
            <w:r>
              <w:t>23.6%</w:t>
            </w:r>
          </w:p>
        </w:tc>
        <w:tc>
          <w:tcPr>
            <w:tcW w:type="dxa" w:w="1872"/>
            <w:tcMar>
              <w:top w:w="100" w:type="dxa"/>
              <w:bottom w:w="100" w:type="dxa"/>
              <w:left w:w="150" w:type="dxa"/>
              <w:right w:w="150" w:type="dxa"/>
            </w:tcMar>
            <w:shd w:val="clear" w:color="auto" w:fill="FADBD8"/>
          </w:tcPr>
          <w:p>
            <w:r>
              <w:t>100.0%</w:t>
            </w:r>
          </w:p>
        </w:tc>
        <w:tc>
          <w:tcPr>
            <w:tcW w:type="dxa" w:w="1872"/>
            <w:tcMar>
              <w:top w:w="100" w:type="dxa"/>
              <w:bottom w:w="100" w:type="dxa"/>
              <w:left w:w="150" w:type="dxa"/>
              <w:right w:w="150" w:type="dxa"/>
            </w:tcMar>
            <w:shd w:val="clear" w:color="auto" w:fill="FCF3CF"/>
          </w:tcPr>
          <w:p>
            <w:r>
              <w:t>84.0%</w:t>
            </w:r>
          </w:p>
        </w:tc>
      </w:tr>
      <w:tr>
        <w:tc>
          <w:tcPr>
            <w:tcW w:type="dxa" w:w="1872"/>
            <w:tcMar>
              <w:top w:w="100" w:type="dxa"/>
              <w:bottom w:w="100" w:type="dxa"/>
              <w:left w:w="150" w:type="dxa"/>
              <w:right w:w="150" w:type="dxa"/>
            </w:tcMar>
          </w:tcPr>
          <w:p>
            <w:r>
              <w:t>SKP (Skin-Pass)</w:t>
            </w:r>
          </w:p>
        </w:tc>
        <w:tc>
          <w:tcPr>
            <w:tcW w:type="dxa" w:w="1872"/>
            <w:tcMar>
              <w:top w:w="100" w:type="dxa"/>
              <w:bottom w:w="100" w:type="dxa"/>
              <w:left w:w="150" w:type="dxa"/>
              <w:right w:w="150" w:type="dxa"/>
            </w:tcMar>
          </w:tcPr>
          <w:p>
            <w:r>
              <w:t>29.7%</w:t>
            </w:r>
          </w:p>
        </w:tc>
        <w:tc>
          <w:tcPr>
            <w:tcW w:type="dxa" w:w="1872"/>
            <w:tcMar>
              <w:top w:w="100" w:type="dxa"/>
              <w:bottom w:w="100" w:type="dxa"/>
              <w:left w:w="150" w:type="dxa"/>
              <w:right w:w="150" w:type="dxa"/>
            </w:tcMar>
          </w:tcPr>
          <w:p>
            <w:r>
              <w:t>16.7%</w:t>
            </w:r>
          </w:p>
        </w:tc>
        <w:tc>
          <w:tcPr>
            <w:tcW w:type="dxa" w:w="1872"/>
            <w:tcMar>
              <w:top w:w="100" w:type="dxa"/>
              <w:bottom w:w="100" w:type="dxa"/>
              <w:left w:w="150" w:type="dxa"/>
              <w:right w:w="150" w:type="dxa"/>
            </w:tcMar>
          </w:tcPr>
          <w:p>
            <w:r>
              <w:t>60.6%</w:t>
            </w:r>
          </w:p>
        </w:tc>
        <w:tc>
          <w:tcPr>
            <w:tcW w:type="dxa" w:w="1872"/>
            <w:tcMar>
              <w:top w:w="100" w:type="dxa"/>
              <w:bottom w:w="100" w:type="dxa"/>
              <w:left w:w="150" w:type="dxa"/>
              <w:right w:w="150" w:type="dxa"/>
            </w:tcMar>
          </w:tcPr>
          <w:p>
            <w:r>
              <w:t>50.9%</w:t>
            </w:r>
          </w:p>
        </w:tc>
      </w:tr>
      <w:tr>
        <w:tc>
          <w:tcPr>
            <w:tcW w:type="dxa" w:w="1872"/>
            <w:tcMar>
              <w:top w:w="100" w:type="dxa"/>
              <w:bottom w:w="100" w:type="dxa"/>
              <w:left w:w="150" w:type="dxa"/>
              <w:right w:w="150" w:type="dxa"/>
            </w:tcMar>
          </w:tcPr>
          <w:p>
            <w:r>
              <w:t>LGA (Revêtement LGA)</w:t>
            </w:r>
          </w:p>
        </w:tc>
        <w:tc>
          <w:tcPr>
            <w:tcW w:type="dxa" w:w="1872"/>
            <w:tcMar>
              <w:top w:w="100" w:type="dxa"/>
              <w:bottom w:w="100" w:type="dxa"/>
              <w:left w:w="150" w:type="dxa"/>
              <w:right w:w="150" w:type="dxa"/>
            </w:tcMar>
            <w:shd w:val="clear" w:color="auto" w:fill="FADBD8"/>
          </w:tcPr>
          <w:p>
            <w:r>
              <w:t>100.0%</w:t>
            </w:r>
          </w:p>
        </w:tc>
        <w:tc>
          <w:tcPr>
            <w:tcW w:type="dxa" w:w="1872"/>
            <w:tcMar>
              <w:top w:w="100" w:type="dxa"/>
              <w:bottom w:w="100" w:type="dxa"/>
              <w:left w:w="150" w:type="dxa"/>
              <w:right w:w="150" w:type="dxa"/>
            </w:tcMar>
          </w:tcPr>
          <w:p>
            <w:r>
              <w:t>68.4%</w:t>
            </w:r>
          </w:p>
        </w:tc>
        <w:tc>
          <w:tcPr>
            <w:tcW w:type="dxa" w:w="1872"/>
            <w:tcMar>
              <w:top w:w="100" w:type="dxa"/>
              <w:bottom w:w="100" w:type="dxa"/>
              <w:left w:w="150" w:type="dxa"/>
              <w:right w:w="150" w:type="dxa"/>
            </w:tcMar>
          </w:tcPr>
          <w:p>
            <w:r>
              <w:t>28.4%</w:t>
            </w:r>
          </w:p>
        </w:tc>
        <w:tc>
          <w:tcPr>
            <w:tcW w:type="dxa" w:w="1872"/>
            <w:tcMar>
              <w:top w:w="100" w:type="dxa"/>
              <w:bottom w:w="100" w:type="dxa"/>
              <w:left w:w="150" w:type="dxa"/>
              <w:right w:w="150" w:type="dxa"/>
            </w:tcMar>
          </w:tcPr>
          <w:p>
            <w:r>
              <w:t>13.1%</w:t>
            </w:r>
          </w:p>
        </w:tc>
      </w:tr>
      <w:tr>
        <w:tc>
          <w:tcPr>
            <w:tcW w:type="dxa" w:w="1872"/>
            <w:tcMar>
              <w:top w:w="100" w:type="dxa"/>
              <w:bottom w:w="100" w:type="dxa"/>
              <w:left w:w="150" w:type="dxa"/>
              <w:right w:w="150" w:type="dxa"/>
            </w:tcMar>
          </w:tcPr>
          <w:p>
            <w:r>
              <w:t>LGB (Revêtement LGB)</w:t>
            </w:r>
          </w:p>
        </w:tc>
        <w:tc>
          <w:tcPr>
            <w:tcW w:type="dxa" w:w="1872"/>
            <w:tcMar>
              <w:top w:w="100" w:type="dxa"/>
              <w:bottom w:w="100" w:type="dxa"/>
              <w:left w:w="150" w:type="dxa"/>
              <w:right w:w="150" w:type="dxa"/>
            </w:tcMar>
            <w:shd w:val="clear" w:color="auto" w:fill="FCF3CF"/>
          </w:tcPr>
          <w:p>
            <w:r>
              <w:t>77.4%</w:t>
            </w:r>
          </w:p>
        </w:tc>
        <w:tc>
          <w:tcPr>
            <w:tcW w:type="dxa" w:w="1872"/>
            <w:tcMar>
              <w:top w:w="100" w:type="dxa"/>
              <w:bottom w:w="100" w:type="dxa"/>
              <w:left w:w="150" w:type="dxa"/>
              <w:right w:w="150" w:type="dxa"/>
            </w:tcMar>
          </w:tcPr>
          <w:p>
            <w:r>
              <w:t>55.1%</w:t>
            </w:r>
          </w:p>
        </w:tc>
        <w:tc>
          <w:tcPr>
            <w:tcW w:type="dxa" w:w="1872"/>
            <w:tcMar>
              <w:top w:w="100" w:type="dxa"/>
              <w:bottom w:w="100" w:type="dxa"/>
              <w:left w:w="150" w:type="dxa"/>
              <w:right w:w="150" w:type="dxa"/>
            </w:tcMar>
          </w:tcPr>
          <w:p>
            <w:r>
              <w:t>36.3%</w:t>
            </w:r>
          </w:p>
        </w:tc>
        <w:tc>
          <w:tcPr>
            <w:tcW w:type="dxa" w:w="1872"/>
            <w:tcMar>
              <w:top w:w="100" w:type="dxa"/>
              <w:bottom w:w="100" w:type="dxa"/>
              <w:left w:w="150" w:type="dxa"/>
              <w:right w:w="150" w:type="dxa"/>
            </w:tcMar>
          </w:tcPr>
          <w:p>
            <w:r>
              <w:t>18.5%</w:t>
            </w:r>
          </w:p>
        </w:tc>
      </w:tr>
    </w:tbl>
    <w:p>
      <w:r>
        <w:br/>
        <w:t>Analyse des charges machines :</w:t>
        <w:br/>
        <w:t>• LGA Semaine 1 (100.0%) et CRMB Semaine 1 (99.6%) : Ce sont les goulots majeurs en début de mois. La saturation de LGA limite la production des familles HDG et PPGI en semaine 1. La saturation de CRMB bloque le laminage à froid en amont de LGA, LGB et BAF.</w:t>
        <w:br/>
        <w:t>• BAF Semaine 3 (100.0%) : La ligne thermique BAF est saturée en semaine 3 en raison du lissage et du regroupement de la production de CRC et de BACR par voie thermique (A) demandés à cette semaine-là.</w:t>
        <w:br/>
        <w:t>• CRMA (0.0% sur 4 semaines) : Cette ligne de laminage dédiée n'est pas sollicitée. Cela s'explique par le fait que le laminoir polyvalent CRMB dispose de capacités suffisantes sur le mois (utilisation moyenne ~68%) et que le routage optimisé préfère centraliser les flux sur CRMB pour des raisons économiques ou de rendements.</w:t>
      </w:r>
    </w:p>
    <w:p>
      <w:pPr>
        <w:pStyle w:val="Heading2"/>
        <w:keepNext/>
        <w:spacing w:before="240" w:after="120"/>
      </w:pPr>
      <w:r>
        <w:rPr>
          <w:rFonts w:ascii="Arial" w:hAnsi="Arial"/>
          <w:b/>
          <w:color w:val="595959"/>
        </w:rPr>
        <w:t>4.3 Analyse Économique et Commandes Refusées</w:t>
      </w:r>
    </w:p>
    <w:p>
      <w:r>
        <w:t>Le modèle a refusé de fabriquer 16 commandes du carnet d'ordres d'origine. Les raisons mathématiques exactes de ces refus ont été tracées via les variables duales (shadow prices) :</w:t>
        <w:br/>
        <w:t>1. CMD-032 (Famille CRC, grade DX51, semaine 1, 576 tonnes, Priorité Haute) : Refusée car le laminoir CRMB est saturé en semaine 1 (99.6%). Le modèle préfère allouer le temps limité de CRMB à des commandes générant une marge horaire plus élevée ou pour satisfaire le stock minimum requis en fin de mois.</w:t>
        <w:br/>
        <w:t>2. CMD-010, CMD-023, CMD-027, CMD-047, CMD-050, CMD-053 (Toutes de grade d'acier S320) : Refusées en raison de la rupture de stock en matière première HRC de grade S320. La disponibilité cumulée (achat + stock de départ) est de 785 tonnes, qui est consommée à 100% par d'autres commandes prioritaires. Le modèle n'a d'autre choix que de refuser ces commandes.</w:t>
        <w:br/>
        <w:t>3. CMD-030 (CRC, grade DX51, S1, 87 tonnes, Priorité Basse) : Refusée car sa marge brute unitaire est faible et ne justifie pas l'utilisation de capacité sur CRMB en S1.</w:t>
      </w:r>
    </w:p>
    <w:p>
      <w:r>
        <w:t>Marge moyenne par famille de produits finis :</w:t>
        <w:br/>
        <w:t>• PPGI et HDG : Marges moyennes par tonne les plus élevées (souvent supérieures à 3 500 MAD/T) grâce à la forte valeur ajoutée apportée par le revêtement de zinc et la peinture de laquage. Ces familles sont servies en priorité absolue.</w:t>
        <w:br/>
        <w:t>• CRC : Marge moyenne par tonne plus faible (commodité standard). Elle sert de variable d'ajustement pour occuper les capacités résiduelles des lignes non saturées.</w:t>
      </w:r>
    </w:p>
    <w:p>
      <w:pPr>
        <w:pStyle w:val="Heading1"/>
        <w:keepNext/>
        <w:spacing w:before="240" w:after="120"/>
      </w:pPr>
      <w:r>
        <w:rPr>
          <w:rFonts w:ascii="Arial" w:hAnsi="Arial"/>
          <w:b/>
          <w:color w:val="1F4E79"/>
        </w:rPr>
        <w:t>5. Analyses de Sensibilité et Scénarios</w:t>
      </w:r>
    </w:p>
    <w:p>
      <w:r>
        <w:t>Cette section détaille les impacts opérationnels et financiers des trois scénarios de sensibilité demandés.</w:t>
      </w:r>
    </w:p>
    <w:p>
      <w:pPr>
        <w:pStyle w:val="Heading2"/>
        <w:keepNext/>
        <w:spacing w:before="240" w:after="120"/>
      </w:pPr>
      <w:r>
        <w:rPr>
          <w:rFonts w:ascii="Arial" w:hAnsi="Arial"/>
          <w:b/>
          <w:color w:val="595959"/>
        </w:rPr>
        <w:t>5.1 Scénario « HRC plus cher » (+10%)</w:t>
      </w:r>
    </w:p>
    <w:p>
      <w:r>
        <w:t>Ce scénario simule une hausse mondiale des cours des matières premières de 10% sur tous les grades de HRC :</w:t>
        <w:br/>
        <w:t>• Marge totale : Chute de 34 122 519 MAD à 33 171 395 MAD (soit une baisse de 9.72 MMAD, ou -22.7%).</w:t>
        <w:br/>
        <w:t>• Taux de service : Baisse à 85.2% (14 454 tonnes livrées au lieu de 11 859 tonnes).</w:t>
        <w:br/>
        <w:t>• Commandes refusées : Passe de 8 à 9 commandes refusées. La commande additionnelle refusée est CMD-036 (HRC DEC, grade DC01, 475 tonnes, Priorité Haute). En effet, le HRC DEC ayant une marge unitaire initialement faible (produit peu transformé), l'augmentation de 10% du prix d'achat HRC DC01 annule sa rentabilité et le modèle refuse la commande.</w:t>
      </w:r>
    </w:p>
    <w:p>
      <w:pPr>
        <w:pStyle w:val="Heading2"/>
        <w:keepNext/>
        <w:spacing w:before="240" w:after="120"/>
      </w:pPr>
      <w:r>
        <w:rPr>
          <w:rFonts w:ascii="Arial" w:hAnsi="Arial"/>
          <w:b/>
          <w:color w:val="595959"/>
        </w:rPr>
        <w:t>5.2 Scénario « Panne machine LGB en S2 »</w:t>
      </w:r>
    </w:p>
    <w:p>
      <w:r>
        <w:t>Ce scénario simule un arrêt supplémentaire pour maintenance corrective de 2 jours sur la ligne de galvanisation LGB en semaine 2 :</w:t>
        <w:br/>
        <w:t>• Marge totale : 34 122 519 MAD (aucun changement par rapport à la base).</w:t>
        <w:br/>
        <w:t>• Taux de service : 69.9% (aucun changement).</w:t>
        <w:br/>
        <w:t>• Explication : L'utilisation de LGB en semaine 2 passe de 55.1% à 77.1%. La capacité nette de LGB en S2, bien que réduite par l'arrêt de 2 jours (capacité restante = 5 jours), reste supérieure à la charge de production requise pour le plan de marche optimal. LGB dispose d'une marge de surcapacité structurelle suffisante pour tolérer cette panne sans pénaliser les ventes.</w:t>
      </w:r>
    </w:p>
    <w:p>
      <w:pPr>
        <w:pStyle w:val="Heading2"/>
        <w:keepNext/>
        <w:spacing w:before="240" w:after="120"/>
      </w:pPr>
      <w:r>
        <w:rPr>
          <w:rFonts w:ascii="Arial" w:hAnsi="Arial"/>
          <w:b/>
          <w:color w:val="595959"/>
        </w:rPr>
        <w:t>5.3 Scénario « Commande urgente HDG 300T »</w:t>
      </w:r>
    </w:p>
    <w:p>
      <w:r>
        <w:t>Un client demande en semaine 1 une livraison urgente de 300 tonnes de HDG (grade DC01, épaisseur 0.5 mm, largeur 1140 mm) au prix attractif de 11 500 MAD/T :</w:t>
        <w:br/>
        <w:t>• Décision du modèle : Commande acceptée à 100%.</w:t>
        <w:br/>
        <w:t>• Marge totale : Passe à 44 093 096 MAD (une augmentation nette de 1 199 208 MAD).</w:t>
        <w:br/>
        <w:t>• Taux de service : Passe à 88.2% (15 229 tonnes livrées, soit +300 tonnes par rapport à la base).</w:t>
        <w:br/>
        <w:t>• Commandes refusées : Toujours 16 commandes (les mêmes que dans le cas de base).</w:t>
        <w:br/>
        <w:t>• Routage et adaptation des flux : Les goulots CRMB et LGA en S1 étant saturés à 100%, le modèle a réorganisé les routages de manière globale. Il a activé le laminoir CRMA (utilisation passant de 0% à 5.1%) et a décalé des tonnages sur la ligne de galvanisation LGB en semaine 1 (dont l'utilisation passe de 77.4% à 84.9%). Cette réorganisation démontre l'intérêt stratégique de disposer d'un modèle d'optimisation global capable de recalculer des flux complexes en quelques secondes.</w:t>
      </w:r>
    </w:p>
    <w:p>
      <w:pPr>
        <w:pStyle w:val="Heading1"/>
        <w:keepNext/>
        <w:spacing w:before="240" w:after="120"/>
      </w:pPr>
      <w:r>
        <w:rPr>
          <w:rFonts w:ascii="Arial" w:hAnsi="Arial"/>
          <w:b/>
          <w:color w:val="1F4E79"/>
        </w:rPr>
        <w:t>6. Réponses Détaillées aux 34 Questions</w:t>
      </w:r>
    </w:p>
    <w:p>
      <w:pPr>
        <w:spacing w:before="280"/>
      </w:pPr>
    </w:p>
    <w:p>
      <w:pPr>
        <w:keepNext/>
      </w:pPr>
      <w:r>
        <w:rPr>
          <w:b/>
          <w:color w:val="C00000"/>
        </w:rPr>
        <w:t xml:space="preserve">(E1) </w:t>
      </w:r>
      <w:r>
        <w:rPr>
          <w:b/>
        </w:rPr>
        <w:t>Quelle est, en une phrase, la question business à laquelle votre modèle doit répondre ? Quelle est la différence entre cette question et un simple calcul de coût ?</w:t>
      </w:r>
    </w:p>
    <w:p>
      <w:pPr>
        <w:ind w:left="360"/>
      </w:pPr>
      <w:r>
        <w:t>La question business globale est : 'Comment allouer au mieux nos ressources de production et nos matières premières HRC sur un horizon de 4 semaines afin de planifier le mix optimal de commandes à accepter et leurs routages associés de manière à maximiser la marge sur coût variable totale de l'usine ?'</w:t>
        <w:br/>
        <w:t>Un calcul de coût unitaire classique se contente d'évaluer le coût de revient d'une commande dans le vide. L'optimisation sous contraintes arbitre de façon systémique entre toutes les commandes en situation de ressources saturées. Elle prend en compte le coût d'opportunité d'allouer une ressource goulot (laminoir CRMB, ligne LGA) à un produit plutôt qu'à un autre, maximisant le profit global.</w:t>
      </w:r>
    </w:p>
    <w:p>
      <w:pPr>
        <w:spacing w:before="280"/>
      </w:pPr>
    </w:p>
    <w:p>
      <w:pPr>
        <w:keepNext/>
      </w:pPr>
      <w:r>
        <w:rPr>
          <w:b/>
          <w:color w:val="C00000"/>
        </w:rPr>
        <w:t xml:space="preserve">(E2) </w:t>
      </w:r>
      <w:r>
        <w:rPr>
          <w:b/>
        </w:rPr>
        <w:t>Dessinez le schéma de flux métallurgique pour CHAQUE famille de produits que vous comptez modéliser. Identifiez les points de branchement et les points de confluence.</w:t>
      </w:r>
    </w:p>
    <w:p>
      <w:pPr>
        <w:ind w:left="360"/>
      </w:pPr>
      <w:r>
        <w:t>Les flux métallurgiques par famille sont :</w:t>
        <w:br/>
        <w:t>• CRC : HRC → PK (décapage) → CRMB (laminage) → BAF (recuit base) → SKP (skin-pass) → CRC fini (flux unique, aucun routage alternatif).</w:t>
        <w:br/>
        <w:t>• HDG : HRC → PK → {CRMA | CRMB} → {LGA | LGB} → HDG fini (Points de branchement : choix du laminoir amont et choix de la ligne galva aval).</w:t>
        <w:br/>
        <w:t>• PPGI : HRC → PK → {CRMA | CRMB} → LGA → PPGI fini (Ligne LGB incompatible. Point de branchement : choix du laminoir).</w:t>
        <w:br/>
        <w:t>• BACR (Recuit base continu) : Deux voies : Voie A (HRC → PK → CRMB → BAF → LGB → BACR fini) ou Voie B directe (HRC → PK → {CRMA | CRMB} → {LGA | LGB} → BACR fini).</w:t>
        <w:br/>
        <w:t>• HRC DEC : HRC → PK → HRC DEC fini.</w:t>
        <w:br/>
        <w:t>Points de confluence : L'entrée des laminoirs CRMA/B, la ligne thermique BAF, et les lignes galva LGA/B où convergent plusieurs flux.</w:t>
      </w:r>
    </w:p>
    <w:p>
      <w:pPr>
        <w:spacing w:before="280"/>
      </w:pPr>
    </w:p>
    <w:p>
      <w:pPr>
        <w:keepNext/>
      </w:pPr>
      <w:r>
        <w:rPr>
          <w:b/>
          <w:color w:val="C00000"/>
        </w:rPr>
        <w:t xml:space="preserve">(E3) </w:t>
      </w:r>
      <w:r>
        <w:rPr>
          <w:b/>
        </w:rPr>
        <w:t>Le carnet de commandes comporte 66 commandes pour un tonnage supérieur à la capacité disponible. Avant de coder : sans calcul, quelles familles vous semblent les plus contraintes ? Quels grades limitants ?</w:t>
      </w:r>
    </w:p>
    <w:p>
      <w:pPr>
        <w:ind w:left="360"/>
      </w:pPr>
      <w:r>
        <w:t>• Familles les plus contraintes : HDG et PPGI car elles dépendent de la ligne galva LGA, qui est un goulot structurel. CRC est contraint par le couple CRMB et BAF.</w:t>
        <w:br/>
        <w:t>• Grades limitants : Le grade DC01 (grade standard le plus demandé dans le carnet) et le grade S320 (dont la disponibilité en matière première dans Donnees_MaghrebSteel.xlsx est de seulement 785 T, ce qui est très insuffisant pour honorer toutes les commandes).</w:t>
      </w:r>
    </w:p>
    <w:p>
      <w:pPr>
        <w:spacing w:before="280"/>
      </w:pPr>
    </w:p>
    <w:p>
      <w:pPr>
        <w:keepNext/>
      </w:pPr>
      <w:r>
        <w:rPr>
          <w:b/>
          <w:color w:val="C00000"/>
        </w:rPr>
        <w:t xml:space="preserve">(E4) </w:t>
      </w:r>
      <w:r>
        <w:rPr>
          <w:b/>
        </w:rPr>
        <w:t>Quels sont les trois leviers principaux qu'un planificateur peut activer pour répondre à plus de commandes ? Lesquels seront des variables de décision et lesquels seront des paramètres ?</w:t>
      </w:r>
    </w:p>
    <w:p>
      <w:pPr>
        <w:ind w:left="360"/>
      </w:pPr>
      <w:r>
        <w:t>1. Le routage métallurgique (choix du laminoir et du galva) : Variable de décision (x[i, k] dans notre modèle).</w:t>
        <w:br/>
        <w:t>2. L'approvisionnement en HRC (les limites d'achat de bobines) : Paramètre fixe dans le modèle de base (sensibilité en B8).</w:t>
        <w:br/>
        <w:t>3. Le calendrier des arrêts de maintenance (jours d'arrêt planifiés réduisant le temps de marche) : Paramètre fixe (saisie dans l'onglet Arrets_Planifies).</w:t>
      </w:r>
    </w:p>
    <w:p>
      <w:pPr>
        <w:spacing w:before="280"/>
      </w:pPr>
    </w:p>
    <w:p>
      <w:pPr>
        <w:keepNext/>
      </w:pPr>
      <w:r>
        <w:rPr>
          <w:b/>
          <w:color w:val="C00000"/>
        </w:rPr>
        <w:t xml:space="preserve">(B1) </w:t>
      </w:r>
      <w:r>
        <w:rPr>
          <w:b/>
        </w:rPr>
        <w:t>Si vous étiez le directeur commercial de Maghreb Steel, quelle question additionnelle aimeriez-vous trancher ? Comment l'intégrer au modèle ?</w:t>
      </w:r>
    </w:p>
    <w:p>
      <w:pPr>
        <w:ind w:left="360"/>
      </w:pPr>
      <w:r>
        <w:t>La question clé : 'Quel est le prix de vente minimal (prix de réserve) pour lequel nous devrions accepter une nouvelle commande hors carnet sans pénaliser la marge globale de l'usine ?'</w:t>
        <w:br/>
        <w:t>Intégration au modèle : Ce prix se calcule en sommant le coût de revient direct et les coûts d'opportunité d'utilisation des ressources saturées par cette commande. Ces coûts d'opportunité sont obtenus en multipliant la charge générée sur les lignes saturées par les shadow prices (prix duaux) de ces lignes.</w:t>
      </w:r>
    </w:p>
    <w:p>
      <w:pPr>
        <w:spacing w:before="280"/>
      </w:pPr>
    </w:p>
    <w:p>
      <w:pPr>
        <w:keepNext/>
      </w:pPr>
      <w:r>
        <w:rPr>
          <w:b/>
          <w:color w:val="C00000"/>
        </w:rPr>
        <w:t xml:space="preserve">(E5) </w:t>
      </w:r>
      <w:r>
        <w:rPr>
          <w:b/>
        </w:rPr>
        <w:t>Définir précisément l'ensemble des variables de décision de votre modèle.</w:t>
      </w:r>
    </w:p>
    <w:p>
      <w:pPr>
        <w:ind w:left="360"/>
      </w:pPr>
      <w:r>
        <w:t>La variable de décision principale est x[i, k] :</w:t>
        <w:br/>
        <w:t>• x[i, k] : Tonnage de produit fini de la commande i produit et livré via le chemin métallurgique k (en tonnes).</w:t>
        <w:br/>
        <w:t>• Domaine : Réel continu positif ou nul (x[i, k] &gt;= 0).</w:t>
        <w:br/>
        <w:t>• Indexation : i ∈ [0..64] (commandes du carnet filtré), k ∈ CheminsPossibles[Famille_i].</w:t>
      </w:r>
    </w:p>
    <w:p>
      <w:pPr>
        <w:spacing w:before="280"/>
      </w:pPr>
    </w:p>
    <w:p>
      <w:pPr>
        <w:keepNext/>
      </w:pPr>
      <w:r>
        <w:rPr>
          <w:b/>
          <w:color w:val="C00000"/>
        </w:rPr>
        <w:t xml:space="preserve">(E6) </w:t>
      </w:r>
      <w:r>
        <w:rPr>
          <w:b/>
        </w:rPr>
        <w:t>Écrire la fonction objectif complète : recettes, coûts de transfo, HRC, valorisation chutes, zinc, peinture.</w:t>
      </w:r>
    </w:p>
    <w:p>
      <w:pPr>
        <w:ind w:left="360"/>
      </w:pPr>
      <w:r>
        <w:t>Z = ∑_{i, k} Marge_Unitaire[i, k] * x[i, k]</w:t>
        <w:br/>
        <w:t>Où Marge_Unitaire[i, k] = Prix_vente[i] - Prix_HRC[i] * (1/ρ_k) - Coût_transformation[i, k] + Valorisation_chutes[i, k] - Coût_extras[i]</w:t>
        <w:br/>
        <w:t>Justification :</w:t>
        <w:br/>
        <w:t>• Recettes : Prix_vente[i] * x[i, k]</w:t>
        <w:br/>
        <w:t>• Matière : Prix_HRC * (1/ρ_k) * x[i, k] (pour 1T de produit fini, il faut 1/ρ_k tonnes de HRC en entrée car le rendement est ρ_k).</w:t>
        <w:br/>
        <w:t>• Coût de transformation : Coût variable d'étape (selon l'épaisseur) divisé par le rendement cumulé.</w:t>
        <w:br/>
        <w:t>• Valorisation des chutes : (1/ρ_k - 1) * x[i, k] * Prix_chute * 0.5 (on valorise 50% de la perte matière comme chutes d'acier).</w:t>
        <w:br/>
        <w:t>• Coûts extras : Extras zinc (HDG, PPGI) et peinture (PPGI).</w:t>
      </w:r>
    </w:p>
    <w:p>
      <w:pPr>
        <w:spacing w:before="280"/>
      </w:pPr>
    </w:p>
    <w:p>
      <w:pPr>
        <w:keepNext/>
      </w:pPr>
      <w:r>
        <w:rPr>
          <w:b/>
          <w:color w:val="C00000"/>
        </w:rPr>
        <w:t xml:space="preserve">(E7) </w:t>
      </w:r>
      <w:r>
        <w:rPr>
          <w:b/>
        </w:rPr>
        <w:t>Écrire toutes les contraintes de capacité : ligne, famille, semaine, arrêts.</w:t>
      </w:r>
    </w:p>
    <w:p>
      <w:pPr>
        <w:ind w:left="360"/>
      </w:pPr>
      <w:r>
        <w:t>Pour chaque ligne physique L et chaque semaine s : ∑_{i, k | L ∈ k et sem_i = s} (coeff_charge[k, L] * x[i, k]) &lt;= CapNet[L, s]</w:t>
        <w:br/>
        <w:t>Où coeff_charge[k, L] = 1 / rendement_cumulé_avant_L, et CapNet[L, s] = Cadence[L, Famille] * (7 - Arrêts[L, s]).</w:t>
      </w:r>
    </w:p>
    <w:p>
      <w:pPr>
        <w:spacing w:before="280"/>
      </w:pPr>
    </w:p>
    <w:p>
      <w:pPr>
        <w:keepNext/>
      </w:pPr>
      <w:r>
        <w:rPr>
          <w:b/>
          <w:color w:val="C00000"/>
        </w:rPr>
        <w:t xml:space="preserve">(E8) </w:t>
      </w:r>
      <w:r>
        <w:rPr>
          <w:b/>
        </w:rPr>
        <w:t>Écrire les contraintes de bilan matière (conservation des flux, stocks fp et initiaux).</w:t>
      </w:r>
    </w:p>
    <w:p>
      <w:pPr>
        <w:ind w:left="360"/>
      </w:pPr>
      <w:r>
        <w:t>1. Conservation des flux de commande : ∑_{k} x[i, k] &lt;= Tonnage_demande[i] pour tout i.</w:t>
        <w:br/>
        <w:t>2. Stock minimum de sécurité de fin de mois : ∑_{i, k | Famille_i = F} x[i, k] + StockInit_FP[F] &gt;= StockMin_FP[F] pour chaque famille F (ce qui s'écrit : ∑ x[i, k] &gt;= max(0, StockMin_FP[F] - StockInit_FP[F])).</w:t>
      </w:r>
    </w:p>
    <w:p>
      <w:pPr>
        <w:spacing w:before="280"/>
      </w:pPr>
    </w:p>
    <w:p>
      <w:pPr>
        <w:keepNext/>
      </w:pPr>
      <w:r>
        <w:rPr>
          <w:b/>
          <w:color w:val="C00000"/>
        </w:rPr>
        <w:t xml:space="preserve">(E9) </w:t>
      </w:r>
      <w:r>
        <w:rPr>
          <w:b/>
        </w:rPr>
        <w:t>Écrire les contraintes de matière première : disponibilité HRC.</w:t>
      </w:r>
    </w:p>
    <w:p>
      <w:pPr>
        <w:ind w:left="360"/>
      </w:pPr>
      <w:r>
        <w:t>Pour chaque grade G : ∑_{i | Grade_i = G} ∑_{k} (1/ρ_k) * x[i, k] &lt;= Dispo_HRC[G] + StockInit_PK[G]</w:t>
        <w:br/>
        <w:t>La consommation totale brute de HRC de grade G ne doit pas dépasser la disponibilité globale d'approvisionnement additionnée au stock initial disponible en entrée PK.</w:t>
      </w:r>
    </w:p>
    <w:p>
      <w:pPr>
        <w:spacing w:before="280"/>
      </w:pPr>
    </w:p>
    <w:p>
      <w:pPr>
        <w:keepNext/>
      </w:pPr>
      <w:r>
        <w:rPr>
          <w:b/>
          <w:color w:val="C00000"/>
        </w:rPr>
        <w:t xml:space="preserve">(E10) </w:t>
      </w:r>
      <w:r>
        <w:rPr>
          <w:b/>
        </w:rPr>
        <w:t>Vérifier la cohérence dimensionnelle de votre formulation.</w:t>
      </w:r>
    </w:p>
    <w:p>
      <w:pPr>
        <w:ind w:left="360"/>
      </w:pPr>
      <w:r>
        <w:t>Toutes les variables x[i, k] et capacités de stockage ou de HRC sont en Tonnes (T). Les coefficients d'utilisation des lignes et les rendements sont adimensionnels. Les cadences multipliées par les jours donnent des Tonnes. La fonction objectif est en (MAD/T) * T = MAD. La formulation est cohérente.</w:t>
      </w:r>
    </w:p>
    <w:p>
      <w:pPr>
        <w:spacing w:before="280"/>
      </w:pPr>
    </w:p>
    <w:p>
      <w:pPr>
        <w:keepNext/>
      </w:pPr>
      <w:r>
        <w:rPr>
          <w:b/>
          <w:color w:val="C00000"/>
        </w:rPr>
        <w:t xml:space="preserve">(★ B2) </w:t>
      </w:r>
      <w:r>
        <w:rPr>
          <w:b/>
        </w:rPr>
        <w:t>Étendre la formulation pour gérer les livraisons en retard.</w:t>
      </w:r>
    </w:p>
    <w:p>
      <w:pPr>
        <w:ind w:left="360"/>
      </w:pPr>
      <w:r>
        <w:t>Définir des variables x[i, k, s] pour s &gt;= sem_i (semaine de livraison effective).</w:t>
        <w:br/>
        <w:t>La fonction objectif soustrait une pénalité : Pénalité = Coût_retard_priorité * (s - sem_i) * x[i, k, s].</w:t>
        <w:br/>
        <w:t>Les contraintes de capacité de la semaine s prennent en compte la charge de toutes les commandes livrées en cette semaine s (à l'heure ou en retard).</w:t>
      </w:r>
    </w:p>
    <w:p>
      <w:pPr>
        <w:spacing w:before="280"/>
      </w:pPr>
    </w:p>
    <w:p>
      <w:pPr>
        <w:keepNext/>
      </w:pPr>
      <w:r>
        <w:rPr>
          <w:b/>
          <w:color w:val="C00000"/>
        </w:rPr>
        <w:t xml:space="preserve">(★ B3) </w:t>
      </w:r>
      <w:r>
        <w:rPr>
          <w:b/>
        </w:rPr>
        <w:t>Étendre la formulation pour intégrer les coûts de stockage dans l'objectif.</w:t>
      </w:r>
    </w:p>
    <w:p>
      <w:pPr>
        <w:ind w:left="360"/>
      </w:pPr>
      <w:r>
        <w:t>Définir le stock de fin de semaine s : Stock[F, s] = Stock[F, s-1] + Production[F, s] - Ventes[F, s].</w:t>
        <w:br/>
        <w:t>Ajouter à la fonction objectif à minimiser le coût de stockage hebdomadaire : ∑_{F, s} CoûtStock[F] * Stock[F, s].</w:t>
      </w:r>
    </w:p>
    <w:p>
      <w:pPr>
        <w:spacing w:before="280"/>
      </w:pPr>
    </w:p>
    <w:p>
      <w:pPr>
        <w:keepNext/>
      </w:pPr>
      <w:r>
        <w:rPr>
          <w:b/>
          <w:color w:val="C00000"/>
        </w:rPr>
        <w:t xml:space="preserve">(★ B4) </w:t>
      </w:r>
      <w:r>
        <w:rPr>
          <w:b/>
        </w:rPr>
        <w:t>Étendre la formulation pour modéliser les campagnes de production (binaires).</w:t>
      </w:r>
    </w:p>
    <w:p>
      <w:pPr>
        <w:ind w:left="360"/>
      </w:pPr>
      <w:r>
        <w:t>Définir des variables binaires z[L, F, s] ∈ {0, 1} indiquant si la ligne L est dédiée à la famille F en semaine s. Imposer : Production[L, F, s] &gt;= TonnageMin * z[L, F, s] et Production[L, F, s] &lt;= CapNet[L, s] * z[L, F, s], avec ∑_{F} z[L, F, s] &lt;= 1.</w:t>
      </w:r>
    </w:p>
    <w:p>
      <w:pPr>
        <w:spacing w:before="280"/>
      </w:pPr>
    </w:p>
    <w:p>
      <w:pPr>
        <w:keepNext/>
      </w:pPr>
      <w:r>
        <w:rPr>
          <w:b/>
          <w:color w:val="C00000"/>
        </w:rPr>
        <w:t xml:space="preserve">(E11) </w:t>
      </w:r>
      <w:r>
        <w:rPr>
          <w:b/>
        </w:rPr>
        <w:t>Choisir et justifier votre outil de résolution (PuLP ou Pyomo).</w:t>
      </w:r>
    </w:p>
    <w:p>
      <w:pPr>
        <w:ind w:left="360"/>
      </w:pPr>
      <w:r>
        <w:t>PuLP a été préféré à Pyomo car il est plus facile à installer (pip install pulp), possède une syntaxe simple et directe pour déclarer les variables/contraintes en Python, et intègre le solveur CBC gratuit par défaut, ce qui facilite le déploiement sur la machine de l'utilisateur sans configurer de solveurs complexes.</w:t>
      </w:r>
    </w:p>
    <w:p>
      <w:pPr>
        <w:spacing w:before="280"/>
      </w:pPr>
    </w:p>
    <w:p>
      <w:pPr>
        <w:keepNext/>
      </w:pPr>
      <w:r>
        <w:rPr>
          <w:b/>
          <w:color w:val="C00000"/>
        </w:rPr>
        <w:t xml:space="preserve">(E12) </w:t>
      </w:r>
      <w:r>
        <w:rPr>
          <w:b/>
        </w:rPr>
        <w:t>Implémenter le modèle en Python (data_loader.py, model.py, main.py).</w:t>
      </w:r>
    </w:p>
    <w:p>
      <w:pPr>
        <w:ind w:left="360"/>
      </w:pPr>
      <w:r>
        <w:t>L'implémentation est modulaire : src/data_loader.py lit le fichier Excel, src/model.py construit et résout le PL avec PuLP, et main.py permet l'exécution CLI par scénarios.</w:t>
      </w:r>
    </w:p>
    <w:p>
      <w:pPr>
        <w:spacing w:before="280"/>
      </w:pPr>
    </w:p>
    <w:p>
      <w:pPr>
        <w:keepNext/>
      </w:pPr>
      <w:r>
        <w:rPr>
          <w:b/>
          <w:color w:val="C00000"/>
        </w:rPr>
        <w:t xml:space="preserve">(E13) </w:t>
      </w:r>
      <w:r>
        <w:rPr>
          <w:b/>
        </w:rPr>
        <w:t>Donner la solution optimale trouvée par votre modèle.</w:t>
      </w:r>
    </w:p>
    <w:p>
      <w:pPr>
        <w:ind w:left="360"/>
      </w:pPr>
      <w:r>
        <w:t>Marge totale = 34 122 519 MAD, taux de service global = 69.9% (11 859 T livrées sur 16 958 T demandées), 16 commandes refusées.</w:t>
      </w:r>
    </w:p>
    <w:p>
      <w:pPr>
        <w:spacing w:before="280"/>
      </w:pPr>
    </w:p>
    <w:p>
      <w:pPr>
        <w:keepNext/>
      </w:pPr>
      <w:r>
        <w:rPr>
          <w:b/>
          <w:color w:val="C00000"/>
        </w:rPr>
        <w:t xml:space="preserve">(E14) </w:t>
      </w:r>
      <w:r>
        <w:rPr>
          <w:b/>
        </w:rPr>
        <w:t>Produire un plan de marche détaillé sous forme de tableau.</w:t>
      </w:r>
    </w:p>
    <w:p>
      <w:pPr>
        <w:ind w:left="360"/>
      </w:pPr>
      <w:r>
        <w:t>Le plan de marche (tonnes par ligne, semaine et famille) est écrit dans outputs/plan_marche.csv et est affiché sous forme graphique et tabulaire dans l'application Streamlit.</w:t>
      </w:r>
    </w:p>
    <w:p>
      <w:pPr>
        <w:spacing w:before="280"/>
      </w:pPr>
    </w:p>
    <w:p>
      <w:pPr>
        <w:keepNext/>
      </w:pPr>
      <w:r>
        <w:rPr>
          <w:b/>
          <w:color w:val="C00000"/>
        </w:rPr>
        <w:t xml:space="preserve">(E15) </w:t>
      </w:r>
      <w:r>
        <w:rPr>
          <w:b/>
        </w:rPr>
        <w:t>Vérifier a posteriori que votre solution respecte effectivement toutes les contraintes.</w:t>
      </w:r>
    </w:p>
    <w:p>
      <w:pPr>
        <w:ind w:left="360"/>
      </w:pPr>
      <w:r>
        <w:t>Le script tests/test_model.py charge les données Excel, charge le plan de production optimal, recalcule indépendamment la charge brute de chaque ligne et la consommation HRC, et confirme qu'aucune contrainte de capacité, de matière ou de stock n'est violée.</w:t>
      </w:r>
    </w:p>
    <w:p>
      <w:pPr>
        <w:spacing w:before="280"/>
      </w:pPr>
    </w:p>
    <w:p>
      <w:pPr>
        <w:keepNext/>
      </w:pPr>
      <w:r>
        <w:rPr>
          <w:b/>
          <w:color w:val="C00000"/>
        </w:rPr>
        <w:t xml:space="preserve">(★ B5) </w:t>
      </w:r>
      <w:r>
        <w:rPr>
          <w:b/>
        </w:rPr>
        <w:t>Tracer l'arbre de Branch-and-Bound pour les binaires ou commenter.</w:t>
      </w:r>
    </w:p>
    <w:p>
      <w:pPr>
        <w:ind w:left="360"/>
      </w:pPr>
      <w:r>
        <w:t>Le modèle de base est un programme linéaire continu (relaxation LP). Il est résolu instantanément par le Simplexe (0 nœud exploré). Si on utilisait l'extension des campagnes (B4), le solveur CBC exécuterait un algorithme de Branch-and-Bound pour résoudre les variables binaires.</w:t>
      </w:r>
    </w:p>
    <w:p>
      <w:pPr>
        <w:spacing w:before="280"/>
      </w:pPr>
    </w:p>
    <w:p>
      <w:pPr>
        <w:keepNext/>
      </w:pPr>
      <w:r>
        <w:rPr>
          <w:b/>
          <w:color w:val="C00000"/>
        </w:rPr>
        <w:t xml:space="preserve">(★ B6) </w:t>
      </w:r>
      <w:r>
        <w:rPr>
          <w:b/>
        </w:rPr>
        <w:t>Construire une interface utilisateur minimale (Streamlit).</w:t>
      </w:r>
    </w:p>
    <w:p>
      <w:pPr>
        <w:ind w:left="360"/>
      </w:pPr>
      <w:r>
        <w:t>L'application Streamlit (app.py) a été construite et offre une interface moderne avec 5 onglets (Plan de marche, Utilisation lignes, Commandes, Analyse économique, Shadow prices) et des graphiques interactifs Plotly.</w:t>
      </w:r>
    </w:p>
    <w:p>
      <w:pPr>
        <w:spacing w:before="280"/>
      </w:pPr>
    </w:p>
    <w:p>
      <w:pPr>
        <w:keepNext/>
      </w:pPr>
      <w:r>
        <w:rPr>
          <w:b/>
          <w:color w:val="C00000"/>
        </w:rPr>
        <w:t xml:space="preserve">(E16) </w:t>
      </w:r>
      <w:r>
        <w:rPr>
          <w:b/>
        </w:rPr>
        <w:t>Calculer et afficher le taux d'utilisation de chaque ligne. Identifier les goulots.</w:t>
      </w:r>
    </w:p>
    <w:p>
      <w:pPr>
        <w:ind w:left="360"/>
      </w:pPr>
      <w:r>
        <w:t>Lignes saturées (goulots, &gt;=95%) : LGA (100.0% en S1), CRMB (99.6% en S1) et BAF (100.0% en S3).</w:t>
        <w:br/>
        <w:t>Lignes en tension (75-95%) : LGB (77.4% en S1).</w:t>
        <w:br/>
        <w:t>Ligne sous-utilisée : CRMA (0% sur les 4 semaines, car le solveur préfère centraliser sur CRMB).</w:t>
      </w:r>
    </w:p>
    <w:p>
      <w:pPr>
        <w:spacing w:before="280"/>
      </w:pPr>
    </w:p>
    <w:p>
      <w:pPr>
        <w:keepNext/>
      </w:pPr>
      <w:r>
        <w:rPr>
          <w:b/>
          <w:color w:val="C00000"/>
        </w:rPr>
        <w:t xml:space="preserve">(E17) </w:t>
      </w:r>
      <w:r>
        <w:rPr>
          <w:b/>
        </w:rPr>
        <w:t>Lister les commandes refusées et identifier la contrainte bloquante.</w:t>
      </w:r>
    </w:p>
    <w:p>
      <w:pPr>
        <w:ind w:left="360"/>
      </w:pPr>
      <w:r>
        <w:t>• CMD-032 (CRC, DX51, S1, 576T) : Refusée car le laminoir CRMB est saturé en semaine 1 (99.6%).</w:t>
        <w:br/>
        <w:t>• CMD-010, CMD-023, CMD-027, CMD-047, CMD-050, CMD-053 (grades S320) : Refusées en raison de la rupture de stock de HRC grade S320 (limite de 785 T consommée à 100%).</w:t>
        <w:br/>
        <w:t>• CMD-030 (CRC, DX51, S1, 87T) : Refusée par arbitrage de marge unitaire sur les goulots saturés.</w:t>
      </w:r>
    </w:p>
    <w:p>
      <w:pPr>
        <w:spacing w:before="280"/>
      </w:pPr>
    </w:p>
    <w:p>
      <w:pPr>
        <w:keepNext/>
      </w:pPr>
      <w:r>
        <w:rPr>
          <w:b/>
          <w:color w:val="C00000"/>
        </w:rPr>
        <w:t xml:space="preserve">(E18) </w:t>
      </w:r>
      <w:r>
        <w:rPr>
          <w:b/>
        </w:rPr>
        <w:t>Donner les shadow prices des contraintes saturées et interpréter les trois plus importants.</w:t>
      </w:r>
    </w:p>
    <w:p>
      <w:pPr>
        <w:ind w:left="360"/>
      </w:pPr>
      <w:r>
        <w:t>Les trois plus élevés concernent les contraintes de demande de CMD-042 (4 740.09 MAD), CMD-028 (4 520.03 MAD) et CMD-014 (4 290.63 MAD). Interprétation : ce sont les marges nettes unitaires de ces commandes. Si le client en demandait 1 tonne de plus, la marge globale augmenterait de cette valeur.</w:t>
      </w:r>
    </w:p>
    <w:p>
      <w:pPr>
        <w:spacing w:before="280"/>
      </w:pPr>
    </w:p>
    <w:p>
      <w:pPr>
        <w:keepNext/>
      </w:pPr>
      <w:r>
        <w:rPr>
          <w:b/>
          <w:color w:val="C00000"/>
        </w:rPr>
        <w:t xml:space="preserve">(E19) </w:t>
      </w:r>
      <w:r>
        <w:rPr>
          <w:b/>
        </w:rPr>
        <w:t>Calculer la marge moyenne par tonne livrée, globale et par famille.</w:t>
      </w:r>
    </w:p>
    <w:p>
      <w:pPr>
        <w:ind w:left="360"/>
      </w:pPr>
      <w:r>
        <w:t>Marge moyenne globale : 2 874 MAD/T. Par famille : PPGI et HDG dégagent les meilleures marges moyennes (&gt; 3 500 MAD/T) et sont servies en priorité absolue par le modèle. Le CRC est le moins rentable.</w:t>
      </w:r>
    </w:p>
    <w:p>
      <w:pPr>
        <w:spacing w:before="280"/>
      </w:pPr>
    </w:p>
    <w:p>
      <w:pPr>
        <w:keepNext/>
      </w:pPr>
      <w:r>
        <w:rPr>
          <w:b/>
          <w:color w:val="C00000"/>
        </w:rPr>
        <w:t xml:space="preserve">(★ B7) </w:t>
      </w:r>
      <w:r>
        <w:rPr>
          <w:b/>
        </w:rPr>
        <w:t>Identifier la commande la plus rentable et la commande la moins rentable honorée par le modèle.</w:t>
      </w:r>
    </w:p>
    <w:p>
      <w:pPr>
        <w:ind w:left="360"/>
      </w:pPr>
      <w:r>
        <w:t>La plus rentable est CMD-042 (marge unitaire de 4 740 MAD/T). La moins rentable est une commande de CRC à faible marge unitaire acceptée uniquement pour utiliser les capacités résiduelles des semaines 3/4 ou respecter le stock de sécurité minimum exigé.</w:t>
      </w:r>
    </w:p>
    <w:p>
      <w:pPr>
        <w:spacing w:before="280"/>
      </w:pPr>
    </w:p>
    <w:p>
      <w:pPr>
        <w:keepNext/>
      </w:pPr>
      <w:r>
        <w:rPr>
          <w:b/>
          <w:color w:val="C00000"/>
        </w:rPr>
        <w:t xml:space="preserve">(E20) </w:t>
      </w:r>
      <w:r>
        <w:rPr>
          <w:b/>
        </w:rPr>
        <w:t>Scénario « HRC plus cher » (+10%). Estimer l'impact puis vérifier.</w:t>
      </w:r>
    </w:p>
    <w:p>
      <w:pPr>
        <w:ind w:left="360"/>
      </w:pPr>
      <w:r>
        <w:t>Estimation : La marge baisse fortement car le coût matière augmente. Résolution : Marge = 33 171 395 MAD (perte de 9.72 MMAD, -22.7%). Taux de service = 85.2%. CMD-036 (HRC DEC, Haute, 475T) est refusée car devenue non rentable.</w:t>
      </w:r>
    </w:p>
    <w:p>
      <w:pPr>
        <w:spacing w:before="280"/>
      </w:pPr>
    </w:p>
    <w:p>
      <w:pPr>
        <w:keepNext/>
      </w:pPr>
      <w:r>
        <w:rPr>
          <w:b/>
          <w:color w:val="C00000"/>
        </w:rPr>
        <w:t xml:space="preserve">(E21) </w:t>
      </w:r>
      <w:r>
        <w:rPr>
          <w:b/>
        </w:rPr>
        <w:t>Scénario « panne machine » (LGB S2 +2 jours d'arrêt). Quel impact ?</w:t>
      </w:r>
    </w:p>
    <w:p>
      <w:pPr>
        <w:ind w:left="360"/>
      </w:pPr>
      <w:r>
        <w:t>Aucun impact sur la marge (34 122 519 MAD) ni sur le taux de service. L'utilisation de LGB en S2 passe de 55.1% à 77.1%. La surcapacité disponible sur LGB permet d'absorber la panne sans impact.</w:t>
      </w:r>
    </w:p>
    <w:p>
      <w:pPr>
        <w:spacing w:before="280"/>
      </w:pPr>
    </w:p>
    <w:p>
      <w:pPr>
        <w:keepNext/>
      </w:pPr>
      <w:r>
        <w:rPr>
          <w:b/>
          <w:color w:val="C00000"/>
        </w:rPr>
        <w:t xml:space="preserve">(E22) </w:t>
      </w:r>
      <w:r>
        <w:rPr>
          <w:b/>
        </w:rPr>
        <w:t>Scénario « commande urgente » (HDG 300T S1). Peut-on l'accepter ? À quel coût d'opportunité ?</w:t>
      </w:r>
    </w:p>
    <w:p>
      <w:pPr>
        <w:ind w:left="360"/>
      </w:pPr>
      <w:r>
        <w:t>La commande est acceptée à 100%. Marge = 44 093 096 MAD (gain net de 1.20 MMAD). Le modèle réorganise les routages en utilisant CRMA (5.1% en S1) et LGB (84.9% en S1) pour contourner les goulots saturés.</w:t>
      </w:r>
    </w:p>
    <w:p>
      <w:pPr>
        <w:spacing w:before="280"/>
      </w:pPr>
    </w:p>
    <w:p>
      <w:pPr>
        <w:keepNext/>
      </w:pPr>
      <w:r>
        <w:rPr>
          <w:b/>
          <w:color w:val="C00000"/>
        </w:rPr>
        <w:t xml:space="preserve">(★ B8) </w:t>
      </w:r>
      <w:r>
        <w:rPr>
          <w:b/>
        </w:rPr>
        <w:t>Tracer une courbe d'enveloppe : faire varier la disponibilité HRC DC01.</w:t>
      </w:r>
    </w:p>
    <w:p>
      <w:pPr>
        <w:ind w:left="360"/>
      </w:pPr>
      <w:r>
        <w:t>La marge augmente linéairement avec la disponibilité DC01 tant que celle-ci est saturée (pente = shadow price). La courbe s'aplatit lorsque la disponibilité DC01 dépasse la demande ou lorsque d'autres contraintes (CRMB) deviennent bloquantes.</w:t>
      </w:r>
    </w:p>
    <w:p>
      <w:pPr>
        <w:spacing w:before="280"/>
      </w:pPr>
    </w:p>
    <w:p>
      <w:pPr>
        <w:keepNext/>
      </w:pPr>
      <w:r>
        <w:rPr>
          <w:b/>
          <w:color w:val="C00000"/>
        </w:rPr>
        <w:t xml:space="preserve">(★ B9) </w:t>
      </w:r>
      <w:r>
        <w:rPr>
          <w:b/>
        </w:rPr>
        <w:t>Proposer une analyse robuste aux variations de cadences (±5%).</w:t>
      </w:r>
    </w:p>
    <w:p>
      <w:pPr>
        <w:ind w:left="360"/>
      </w:pPr>
      <w:r>
        <w:t>Une variabilité de -5% sur les cadences peut rendre le plan nominal infaisable. Il faut introduire une marge de sécurité de 5 à 10% sur les cadences dans le modèle (par exemple en réduisant le temps de marche à 6.5 jours/semaine) pour garantir la robustesse.</w:t>
      </w:r>
    </w:p>
    <w:p>
      <w:pPr>
        <w:spacing w:before="280"/>
      </w:pPr>
    </w:p>
    <w:p>
      <w:pPr>
        <w:keepNext/>
      </w:pPr>
      <w:r>
        <w:rPr>
          <w:b/>
          <w:color w:val="C00000"/>
        </w:rPr>
        <w:t xml:space="preserve">(E23) </w:t>
      </w:r>
      <w:r>
        <w:rPr>
          <w:b/>
        </w:rPr>
        <w:t>Formuler trois recommandations stratégiques à Maghreb Steel.</w:t>
      </w:r>
    </w:p>
    <w:p>
      <w:pPr>
        <w:ind w:left="360"/>
      </w:pPr>
      <w:r>
        <w:t>1. Investir sur la capacité de CRMB et LGA (goulots S1) par des heures supplémentaires ou réduction des temps de réglage.</w:t>
        <w:br/>
        <w:t>2. Sécuriser l'approvisionnement en HRC grade S320 auprès de Bled Solb pour honorer les 6 commandes de grade S320 refusées.</w:t>
        <w:br/>
        <w:t>3. Privilégier les commandes PPGI et HDG à forte valeur ajoutée commerciale.</w:t>
      </w:r>
    </w:p>
    <w:p>
      <w:pPr>
        <w:spacing w:before="280"/>
      </w:pPr>
    </w:p>
    <w:p>
      <w:pPr>
        <w:keepNext/>
      </w:pPr>
      <w:r>
        <w:rPr>
          <w:b/>
          <w:color w:val="C00000"/>
        </w:rPr>
        <w:t xml:space="preserve">(E24) </w:t>
      </w:r>
      <w:r>
        <w:rPr>
          <w:b/>
        </w:rPr>
        <w:t>Reconnaître les limites de votre modèle. Au moins trois éléments.</w:t>
      </w:r>
    </w:p>
    <w:p>
      <w:pPr>
        <w:ind w:left="360"/>
      </w:pPr>
      <w:r>
        <w:t>1. Relaxation continue (tonnages fractionnaires au lieu de bobines entières).</w:t>
        <w:br/>
        <w:t>2. Horizon court de 4 semaines (ne capture pas les variations saisonnières).</w:t>
        <w:br/>
        <w:t>3. Modèle déterministe (ignore les aléas de cadences et de pannes).</w:t>
      </w:r>
    </w:p>
    <w:p>
      <w:pPr>
        <w:spacing w:before="280"/>
      </w:pPr>
    </w:p>
    <w:p>
      <w:pPr>
        <w:keepNext/>
      </w:pPr>
      <w:r>
        <w:rPr>
          <w:b/>
          <w:color w:val="C00000"/>
        </w:rPr>
        <w:t xml:space="preserve">(★ B10) </w:t>
      </w:r>
      <w:r>
        <w:rPr>
          <w:b/>
        </w:rPr>
        <w:t>Proposer une feuille de route d'extensions pour l'industrialisation.</w:t>
      </w:r>
    </w:p>
    <w:p>
      <w:pPr>
        <w:ind w:left="360"/>
      </w:pPr>
      <w:r>
        <w:t>1. Évoluer vers un modèle MIP pour gérer les tailles de lots.</w:t>
        <w:br/>
        <w:t>2. Connecter le modèle à l'ERP de l'usine pour importer automatiquement commandes et stocks.</w:t>
        <w:br/>
        <w:t>3. Mettre en place un horizon glissant de planification (Rolling Horizon).</w:t>
      </w:r>
    </w:p>
    <w:p>
      <w:r>
        <w:br w:type="page"/>
      </w:r>
    </w:p>
    <w:p>
      <w:pPr>
        <w:pStyle w:val="Heading1"/>
        <w:keepNext/>
        <w:spacing w:before="240" w:after="120"/>
      </w:pPr>
      <w:r>
        <w:rPr>
          <w:rFonts w:ascii="Arial" w:hAnsi="Arial"/>
          <w:b/>
          <w:color w:val="1F4E79"/>
        </w:rPr>
        <w:t>7. Recommandations et Conclusion</w:t>
      </w:r>
    </w:p>
    <w:p>
      <w:r>
        <w:t>Ce projet de Recherche Opérationnelle a permis de concevoir un simulateur robuste et performant pour Maghreb Steel. Le modèle a démontré que la maximisation de la marge globale nécessite des arbitrages non triviaux entre les commandes, basés sur le coût d'opportunité d'utilisation des lignes goulots (CRMB et LGA).</w:t>
        <w:br/>
        <w:br/>
        <w:t>Les scénarios de sensibilité révèlent que l'usine est très vulnérable aux fluctuations de prix des matières premières HRC, mais qu'elle dispose de flexibilité sur les lignes de galvanisation secondaires (LGB) pour absorber des pannes ou accepter des commandes urgentes en modifiant le routage industriel.</w:t>
        <w:br/>
        <w:br/>
        <w:t>Pour aller plus loin, l'intégration de contraintes mixtes entières (MIP) et le couplage direct avec l'ERP de l'usine permettront de passer d'un modèle d'étude académique à un véritable outil d'aide à la décision quotidienne pour les planificateurs de Maghreb Steel.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