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Arial" w:hAnsi="Arial"/>
          <w:b/>
          <w:i w:val="0"/>
          <w:color w:val="0B1C3E"/>
          <w:sz w:val="36"/>
        </w:rPr>
        <w:t>EXPLICATION DU PROJET : SIMULATEUR CAPACITÉ-COMMANDE</w:t>
      </w:r>
    </w:p>
    <w:p>
      <w:pPr>
        <w:spacing w:after="600"/>
        <w:jc w:val="center"/>
      </w:pPr>
      <w:r>
        <w:rPr>
          <w:rFonts w:ascii="Arial" w:hAnsi="Arial"/>
          <w:b w:val="0"/>
          <w:i/>
          <w:color w:val="64748B"/>
          <w:sz w:val="24"/>
        </w:rPr>
        <w:t>Maghreb Steel (Tit Mellil) — EMINES UM6P 2026</w:t>
      </w:r>
    </w:p>
    <w:p>
      <w:pPr>
        <w:spacing w:before="280" w:after="80"/>
      </w:pPr>
      <w:r>
        <w:rPr>
          <w:rFonts w:ascii="Arial" w:hAnsi="Arial"/>
          <w:b/>
          <w:i w:val="0"/>
          <w:color w:val="0B1C3E"/>
          <w:sz w:val="28"/>
        </w:rPr>
        <w:t>1. Quel est l'objectif de ce projet ?</w:t>
      </w:r>
    </w:p>
    <w:p>
      <w:pPr>
        <w:spacing w:after="200"/>
      </w:pPr>
      <w:r>
        <w:rPr>
          <w:rFonts w:ascii="Arial" w:hAnsi="Arial"/>
          <w:b w:val="0"/>
          <w:i w:val="0"/>
          <w:color w:val="334155"/>
          <w:sz w:val="22"/>
        </w:rPr>
        <w:t>Ce projet a été réalisé en collaboration avec Maghreb Steel pour leur usine de laminage à froid située à Tit Mellil (Casablanca). L'usine reçoit un grand volume de commandes clients (tonnage, dimensions, prix négocié) mais a des capacités machines limitées. L'objectif est de concevoir un simulateur basé sur la programmation linéaire pour décider de manière optimale :</w:t>
        <w:br/>
        <w:t>• Quelles commandes accepter d'honorer et lesquelles refuser.</w:t>
        <w:br/>
        <w:t>• Quel chemin de transformation (machine par machine) utiliser pour chaque commande.</w:t>
        <w:br/>
        <w:t>Le but ultime est de maximiser la marge sur coût variable de l'usine sur un horizon de 4 semaines.</w:t>
      </w:r>
    </w:p>
    <w:p>
      <w:pPr>
        <w:spacing w:before="280" w:after="80"/>
      </w:pPr>
      <w:r>
        <w:rPr>
          <w:rFonts w:ascii="Arial" w:hAnsi="Arial"/>
          <w:b/>
          <w:i w:val="0"/>
          <w:color w:val="0B1C3E"/>
          <w:sz w:val="28"/>
        </w:rPr>
        <w:t>2. Comment fonctionne l'usine (Le flux) ?</w:t>
      </w:r>
    </w:p>
    <w:p>
      <w:pPr>
        <w:spacing w:after="200"/>
      </w:pPr>
      <w:r>
        <w:rPr>
          <w:rFonts w:ascii="Arial" w:hAnsi="Arial"/>
          <w:b w:val="0"/>
          <w:i w:val="0"/>
          <w:color w:val="334155"/>
          <w:sz w:val="22"/>
        </w:rPr>
        <w:t>L'acier brut entre sous forme de bobines laminées à chaud (HRC). Il suit ensuite un parcours métallurgique :</w:t>
        <w:br/>
        <w:t>1. PK (Décapage) : Nettoie la bobine.</w:t>
        <w:br/>
        <w:t>2. CRMA / CRMB (Laminoirs à froid) : Réduisent l'épaisseur. Le laminoir CRMA est dédié aux produits Galvanisés (LGA/B), alors que le laminoir CRMB est polyvalent et gère aussi le recuit thermique (BAF).</w:t>
        <w:br/>
        <w:t>3. BAF (Recuit) &amp; SKP (Skin-pass) : Traitement thermique nécessaire pour les produits CRC (laminés à froid).</w:t>
        <w:br/>
        <w:t>4. LGA / LGB (Lignes de Galvanisation) : Appliquent le zinc (HDG) ou la peinture (PPGI).</w:t>
        <w:br/>
        <w:t>À chaque étape, il y a des pertes de matière (rendement de 95% à 99% par machine). Les pertes sont valorisées comme ferraille.</w:t>
      </w:r>
    </w:p>
    <w:p>
      <w:pPr>
        <w:spacing w:before="280" w:after="80"/>
      </w:pPr>
      <w:r>
        <w:rPr>
          <w:rFonts w:ascii="Arial" w:hAnsi="Arial"/>
          <w:b/>
          <w:i w:val="0"/>
          <w:color w:val="0B1C3E"/>
          <w:sz w:val="28"/>
        </w:rPr>
        <w:t>3. Formulation Mathématique et Programmation</w:t>
      </w:r>
    </w:p>
    <w:p>
      <w:pPr>
        <w:spacing w:after="200"/>
      </w:pPr>
      <w:r>
        <w:rPr>
          <w:rFonts w:ascii="Arial" w:hAnsi="Arial"/>
          <w:b w:val="0"/>
          <w:i w:val="0"/>
          <w:color w:val="334155"/>
          <w:sz w:val="22"/>
        </w:rPr>
        <w:t>Le modèle d'optimisation est codé en Python avec la bibliothèque PuLP et résolu avec le solveur CBC.</w:t>
        <w:br/>
        <w:t>• Variable de décision : x(i, k) représente le tonnage de la commande 'i' produit via le chemin 'k'.</w:t>
        <w:br/>
        <w:t>• Fonction objectif : Maximiser la marge totale = Somme [ (Prix de vente - Coût HRC - Coût de transformation - Zinc/Peinture + Valeur des chutes) * x(i,k) ].</w:t>
        <w:br/>
        <w:t>• Contraintes : La production hebdomadaire ne dépasse pas la capacité disponible de chaque machine (7 jours moins les arrêts programmés), le tonnage livré respecte la demande client, et la consommation de HRC respecte le stock disponible par grade d'acier.</w:t>
      </w:r>
    </w:p>
    <w:p>
      <w:pPr>
        <w:spacing w:before="280" w:after="80"/>
      </w:pPr>
      <w:r>
        <w:rPr>
          <w:rFonts w:ascii="Arial" w:hAnsi="Arial"/>
          <w:b/>
          <w:i w:val="0"/>
          <w:color w:val="0B1C3E"/>
          <w:sz w:val="28"/>
        </w:rPr>
        <w:t>4. Résultats obtenus (Cas de base)</w:t>
      </w:r>
    </w:p>
    <w:p>
      <w:pPr>
        <w:spacing w:after="200"/>
      </w:pPr>
      <w:r>
        <w:rPr>
          <w:rFonts w:ascii="Arial" w:hAnsi="Arial"/>
          <w:b w:val="0"/>
          <w:i w:val="0"/>
          <w:color w:val="334155"/>
          <w:sz w:val="22"/>
        </w:rPr>
        <w:t>La marge optimale calculée pour le scénario de référence s'élève à 34 122 519 MAD, avec un taux de service global de 69.9%. Le modèle a refusé 16 commandes par manque de capacité.</w:t>
        <w:br/>
        <w:t>Les goulots d'étranglement saturés à 100% de charge sont la ligne LGA en semaine 1 (galvanisation), et la ligne BAF en semaine 3 (recuit).</w:t>
      </w:r>
    </w:p>
    <w:p>
      <w:pPr>
        <w:spacing w:before="280" w:after="80"/>
      </w:pPr>
      <w:r>
        <w:rPr>
          <w:rFonts w:ascii="Arial" w:hAnsi="Arial"/>
          <w:b/>
          <w:i w:val="0"/>
          <w:color w:val="0B1C3E"/>
          <w:sz w:val="28"/>
        </w:rPr>
        <w:t>5. Scénarios analysés (Sensibilité)</w:t>
      </w:r>
    </w:p>
    <w:p>
      <w:pPr>
        <w:spacing w:after="200"/>
      </w:pPr>
      <w:r>
        <w:rPr>
          <w:rFonts w:ascii="Arial" w:hAnsi="Arial"/>
          <w:b w:val="0"/>
          <w:i w:val="0"/>
          <w:color w:val="334155"/>
          <w:sz w:val="22"/>
        </w:rPr>
        <w:t>• Hausse HRC (+10%) : Chute de marge nette de 22.5% (à 33.2 MMAD). Les contraintes physiques restent goulots.</w:t>
        <w:br/>
        <w:t>• Panne LGB en semaine 2 : Perte de 2 jours de capacité. L'impact est minime (-164k MAD) car les flux de production sont réacheminés automatiquement vers LGA.</w:t>
        <w:br/>
        <w:t>• Commande urgente HDG (300T en S1) : Acceptée à 100% par le modèle en écartant des commandes moins profitables. La marge nette finale augmente légèrement à 43.0 MMAD.</w:t>
      </w:r>
    </w:p>
    <w:p>
      <w:pPr>
        <w:spacing w:before="280" w:after="80"/>
      </w:pPr>
      <w:r>
        <w:rPr>
          <w:rFonts w:ascii="Arial" w:hAnsi="Arial"/>
          <w:b/>
          <w:i w:val="0"/>
          <w:color w:val="0B1C3E"/>
          <w:sz w:val="28"/>
        </w:rPr>
        <w:t>6. Recommandations à l'usine</w:t>
      </w:r>
    </w:p>
    <w:p>
      <w:pPr>
        <w:spacing w:after="200"/>
      </w:pPr>
      <w:r>
        <w:rPr>
          <w:rFonts w:ascii="Arial" w:hAnsi="Arial"/>
          <w:b w:val="0"/>
          <w:i w:val="0"/>
          <w:color w:val="334155"/>
          <w:sz w:val="22"/>
        </w:rPr>
        <w:t>1. Investir sur la ligne LGA : C'est le goulot le plus critique de l'usine, avec un prix dual (shadow price) très élevé.</w:t>
        <w:br/>
        <w:t>2. Prioriser les familles PPGI et HDG : Elles offrent la marge unitaire par tonne la plus élevée.</w:t>
        <w:br/>
        <w:t>3. Sécuriser le stock de HRC grade DC01 : C'est la matière première la plus limitante pour la planification.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