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088" w:rsidRPr="000619FA" w:rsidRDefault="00B10A73" w:rsidP="000619FA">
      <w:pPr>
        <w:pStyle w:val="Titre1"/>
        <w:jc w:val="both"/>
        <w:rPr>
          <w:color w:val="auto"/>
        </w:rPr>
      </w:pPr>
      <w:r w:rsidRPr="000619FA">
        <w:rPr>
          <w:color w:val="auto"/>
        </w:rPr>
        <w:t>Projet Ouest V</w:t>
      </w:r>
      <w:r w:rsidR="00FD3088" w:rsidRPr="000619FA">
        <w:rPr>
          <w:color w:val="auto"/>
        </w:rPr>
        <w:t>alorisation</w:t>
      </w:r>
    </w:p>
    <w:p w:rsidR="000F01F0" w:rsidRPr="000619FA" w:rsidRDefault="00C14EFA" w:rsidP="000619FA">
      <w:pPr>
        <w:pStyle w:val="Titre1"/>
        <w:jc w:val="both"/>
        <w:rPr>
          <w:color w:val="auto"/>
        </w:rPr>
      </w:pPr>
      <w:r w:rsidRPr="000619FA">
        <w:rPr>
          <w:color w:val="auto"/>
        </w:rPr>
        <w:t>Sociét</w:t>
      </w:r>
      <w:r w:rsidR="00FD3088" w:rsidRPr="000619FA">
        <w:rPr>
          <w:color w:val="auto"/>
        </w:rPr>
        <w:t xml:space="preserve">é d’accélération du transfert de </w:t>
      </w:r>
      <w:r w:rsidRPr="000619FA">
        <w:rPr>
          <w:color w:val="auto"/>
        </w:rPr>
        <w:t>technologie</w:t>
      </w:r>
    </w:p>
    <w:p w:rsidR="006C7973" w:rsidRPr="00B15DB7" w:rsidRDefault="00FD3088" w:rsidP="006C7973">
      <w:pPr>
        <w:pStyle w:val="Titre1"/>
        <w:jc w:val="both"/>
        <w:rPr>
          <w:color w:val="auto"/>
          <w:sz w:val="24"/>
          <w:szCs w:val="24"/>
        </w:rPr>
      </w:pPr>
      <w:r w:rsidRPr="00B15DB7">
        <w:rPr>
          <w:color w:val="auto"/>
          <w:sz w:val="24"/>
          <w:szCs w:val="24"/>
        </w:rPr>
        <w:t xml:space="preserve">Mémo – </w:t>
      </w:r>
      <w:r w:rsidR="00A9036C">
        <w:rPr>
          <w:color w:val="auto"/>
          <w:sz w:val="24"/>
          <w:szCs w:val="24"/>
        </w:rPr>
        <w:t>07</w:t>
      </w:r>
      <w:r w:rsidRPr="00B15DB7">
        <w:rPr>
          <w:color w:val="auto"/>
          <w:sz w:val="24"/>
          <w:szCs w:val="24"/>
        </w:rPr>
        <w:t>/</w:t>
      </w:r>
      <w:r w:rsidR="00A9036C">
        <w:rPr>
          <w:color w:val="auto"/>
          <w:sz w:val="24"/>
          <w:szCs w:val="24"/>
        </w:rPr>
        <w:t>10</w:t>
      </w:r>
      <w:r w:rsidRPr="00B15DB7">
        <w:rPr>
          <w:color w:val="auto"/>
          <w:sz w:val="24"/>
          <w:szCs w:val="24"/>
        </w:rPr>
        <w:t>/2010</w:t>
      </w:r>
    </w:p>
    <w:p w:rsidR="000619FA" w:rsidRPr="007F1236" w:rsidRDefault="00B15DB7" w:rsidP="000619FA">
      <w:pPr>
        <w:pStyle w:val="Titre2"/>
        <w:ind w:left="0"/>
        <w:rPr>
          <w:color w:val="00819B"/>
        </w:rPr>
      </w:pPr>
      <w:r>
        <w:rPr>
          <w:rFonts w:eastAsia="Times New Roman"/>
          <w:color w:val="00819B"/>
          <w:lang w:eastAsia="fr-FR"/>
        </w:rPr>
        <w:t>En Bref</w:t>
      </w:r>
    </w:p>
    <w:p w:rsidR="00C8713B" w:rsidRPr="00FD7D41" w:rsidRDefault="000F7990" w:rsidP="008A6FBA">
      <w:pPr>
        <w:shd w:val="clear" w:color="auto" w:fill="FFFFFF"/>
        <w:spacing w:after="120" w:line="240" w:lineRule="auto"/>
        <w:ind w:left="1701"/>
        <w:jc w:val="both"/>
        <w:rPr>
          <w:rFonts w:eastAsia="Times New Roman" w:cs="Arial"/>
          <w:color w:val="auto"/>
          <w:lang w:eastAsia="fr-FR"/>
        </w:rPr>
      </w:pPr>
      <w:r w:rsidRPr="00FD7D41">
        <w:rPr>
          <w:rFonts w:eastAsia="Times New Roman" w:cs="Arial"/>
          <w:color w:val="auto"/>
          <w:lang w:eastAsia="fr-FR"/>
        </w:rPr>
        <w:t>Doté</w:t>
      </w:r>
      <w:r w:rsidR="00C35C7F" w:rsidRPr="00FD7D41">
        <w:rPr>
          <w:rFonts w:eastAsia="Times New Roman" w:cs="Arial"/>
          <w:color w:val="auto"/>
          <w:lang w:eastAsia="fr-FR"/>
        </w:rPr>
        <w:t xml:space="preserve"> d’un milliard d’euros, </w:t>
      </w:r>
      <w:r w:rsidRPr="00FD7D41">
        <w:rPr>
          <w:rFonts w:eastAsia="Times New Roman" w:cs="Arial"/>
          <w:color w:val="auto"/>
          <w:lang w:eastAsia="fr-FR"/>
        </w:rPr>
        <w:t>le volet</w:t>
      </w:r>
      <w:r w:rsidR="00C35C7F" w:rsidRPr="00FD7D41">
        <w:rPr>
          <w:rFonts w:eastAsia="Times New Roman" w:cs="Arial"/>
          <w:color w:val="auto"/>
          <w:lang w:eastAsia="fr-FR"/>
        </w:rPr>
        <w:t xml:space="preserve"> « </w:t>
      </w:r>
      <w:r w:rsidR="000619FA" w:rsidRPr="00FD7D41">
        <w:rPr>
          <w:rFonts w:eastAsia="Times New Roman" w:cs="Arial"/>
          <w:color w:val="auto"/>
          <w:lang w:eastAsia="fr-FR"/>
        </w:rPr>
        <w:t xml:space="preserve">Fonds national de </w:t>
      </w:r>
      <w:r w:rsidR="000D43F0" w:rsidRPr="00FD7D41">
        <w:rPr>
          <w:rFonts w:eastAsia="Times New Roman" w:cs="Arial"/>
          <w:color w:val="auto"/>
          <w:lang w:eastAsia="fr-FR"/>
        </w:rPr>
        <w:t>valoris</w:t>
      </w:r>
      <w:r w:rsidR="000619FA" w:rsidRPr="00FD7D41">
        <w:rPr>
          <w:rFonts w:eastAsia="Times New Roman" w:cs="Arial"/>
          <w:color w:val="auto"/>
          <w:lang w:eastAsia="fr-FR"/>
        </w:rPr>
        <w:t xml:space="preserve">ation </w:t>
      </w:r>
      <w:r w:rsidR="00C35C7F" w:rsidRPr="00FD7D41">
        <w:rPr>
          <w:rFonts w:eastAsia="Times New Roman" w:cs="Arial"/>
          <w:color w:val="auto"/>
          <w:lang w:eastAsia="fr-FR"/>
        </w:rPr>
        <w:t>»</w:t>
      </w:r>
      <w:r w:rsidRPr="00FD7D41">
        <w:rPr>
          <w:rFonts w:eastAsia="Times New Roman" w:cs="Arial"/>
          <w:color w:val="auto"/>
          <w:lang w:eastAsia="fr-FR"/>
        </w:rPr>
        <w:t xml:space="preserve"> du </w:t>
      </w:r>
      <w:r w:rsidR="002A11FA">
        <w:rPr>
          <w:rFonts w:eastAsia="Times New Roman" w:cs="Arial"/>
          <w:color w:val="auto"/>
          <w:lang w:eastAsia="fr-FR"/>
        </w:rPr>
        <w:t>programme « Investissements d’Avenir »</w:t>
      </w:r>
      <w:r w:rsidR="00C35C7F" w:rsidRPr="00FD7D41">
        <w:rPr>
          <w:rFonts w:eastAsia="Times New Roman" w:cs="Arial"/>
          <w:color w:val="auto"/>
          <w:lang w:eastAsia="fr-FR"/>
        </w:rPr>
        <w:t xml:space="preserve"> a pour objectif d’accroître l’efficacité du dispositif français de valorisation de la recherche publique et d’améliorer significativement ses résultats, que ce soit sous forme de licences, de partenariats industriels, de création d’entreprises ou en facilit</w:t>
      </w:r>
      <w:r w:rsidR="008A6FBA" w:rsidRPr="00FD7D41">
        <w:rPr>
          <w:rFonts w:eastAsia="Times New Roman" w:cs="Arial"/>
          <w:color w:val="auto"/>
          <w:lang w:eastAsia="fr-FR"/>
        </w:rPr>
        <w:t>ant la mobilité des chercheurs.</w:t>
      </w:r>
    </w:p>
    <w:p w:rsidR="00164466" w:rsidRPr="00FD7D41" w:rsidRDefault="00C35C7F" w:rsidP="008A6FBA">
      <w:pPr>
        <w:shd w:val="clear" w:color="auto" w:fill="FFFFFF"/>
        <w:spacing w:after="120" w:line="240" w:lineRule="auto"/>
        <w:ind w:left="1701"/>
        <w:jc w:val="both"/>
        <w:rPr>
          <w:rFonts w:eastAsia="Times New Roman" w:cs="Arial"/>
          <w:bCs/>
          <w:color w:val="auto"/>
          <w:lang w:eastAsia="fr-FR"/>
        </w:rPr>
      </w:pPr>
      <w:r w:rsidRPr="00FD7D41">
        <w:rPr>
          <w:rFonts w:eastAsia="Times New Roman" w:cs="Arial"/>
          <w:bCs/>
          <w:color w:val="auto"/>
          <w:lang w:eastAsia="fr-FR"/>
        </w:rPr>
        <w:t>Le fonds financera les actions de valorisation de la recherche publique et en particulier la maturation.</w:t>
      </w:r>
    </w:p>
    <w:p w:rsidR="00164466" w:rsidRPr="00FD7D41" w:rsidRDefault="00C35C7F" w:rsidP="008A6FBA">
      <w:pPr>
        <w:shd w:val="clear" w:color="auto" w:fill="FFFFFF"/>
        <w:spacing w:after="120" w:line="240" w:lineRule="auto"/>
        <w:ind w:left="1701"/>
        <w:jc w:val="both"/>
        <w:rPr>
          <w:rFonts w:eastAsia="Times New Roman" w:cs="Arial"/>
          <w:bCs/>
          <w:color w:val="auto"/>
          <w:lang w:eastAsia="fr-FR"/>
        </w:rPr>
      </w:pPr>
      <w:r w:rsidRPr="00FD7D41">
        <w:rPr>
          <w:rFonts w:eastAsia="Times New Roman" w:cs="Arial"/>
          <w:bCs/>
          <w:color w:val="auto"/>
          <w:lang w:eastAsia="fr-FR"/>
        </w:rPr>
        <w:t>Une part majoritaire de cette action, à hauteur de 900 M€, sera consacrée à la création d’une dizaine de « sociétés d’accélération du trans</w:t>
      </w:r>
      <w:r w:rsidR="000619FA" w:rsidRPr="00FD7D41">
        <w:rPr>
          <w:rFonts w:eastAsia="Times New Roman" w:cs="Arial"/>
          <w:bCs/>
          <w:color w:val="auto"/>
          <w:lang w:eastAsia="fr-FR"/>
        </w:rPr>
        <w:t>fert de technologies » (SATT).</w:t>
      </w:r>
    </w:p>
    <w:p w:rsidR="00164466" w:rsidRPr="00FD7D41" w:rsidRDefault="00C35C7F" w:rsidP="008A6FBA">
      <w:pPr>
        <w:shd w:val="clear" w:color="auto" w:fill="FFFFFF"/>
        <w:spacing w:after="120" w:line="240" w:lineRule="auto"/>
        <w:ind w:left="1701"/>
        <w:jc w:val="both"/>
        <w:rPr>
          <w:rFonts w:eastAsia="Times New Roman" w:cs="Arial"/>
          <w:bCs/>
          <w:color w:val="auto"/>
          <w:lang w:eastAsia="fr-FR"/>
        </w:rPr>
      </w:pPr>
      <w:r w:rsidRPr="00FD7D41">
        <w:rPr>
          <w:rFonts w:eastAsia="Times New Roman" w:cs="Arial"/>
          <w:color w:val="auto"/>
          <w:lang w:eastAsia="fr-FR"/>
        </w:rPr>
        <w:t>Détenues majoritairement par des groupements d’établissements et d’organismes de recherche, les SATT devront conduire à une plus forte professionnalisation de la valorisation de la recherche et à un renforcement des compétences en gérant les activités de valorisation au plus près des laboratoires et de l’écosystème d’entreprises, en lien avec les pôles de compétitivité.</w:t>
      </w:r>
    </w:p>
    <w:p w:rsidR="00164466" w:rsidRPr="00FD7D41" w:rsidRDefault="00C35C7F" w:rsidP="008A6FBA">
      <w:pPr>
        <w:shd w:val="clear" w:color="auto" w:fill="FFFFFF"/>
        <w:spacing w:after="120" w:line="240" w:lineRule="auto"/>
        <w:ind w:left="1701"/>
        <w:jc w:val="both"/>
        <w:rPr>
          <w:rFonts w:eastAsia="Times New Roman" w:cs="Arial"/>
          <w:bCs/>
          <w:color w:val="auto"/>
          <w:lang w:eastAsia="fr-FR"/>
        </w:rPr>
      </w:pPr>
      <w:r w:rsidRPr="00FD7D41">
        <w:rPr>
          <w:rFonts w:eastAsia="Times New Roman" w:cs="Arial"/>
          <w:bCs/>
          <w:color w:val="auto"/>
          <w:lang w:eastAsia="fr-FR"/>
        </w:rPr>
        <w:t>Elles devront se substituer aux multiples dispositifs coexistant sur un même site pour constituer de véritables guichets uniques de proximité pour améliorer le service rendu aux chercheurs et aux entreprises.</w:t>
      </w:r>
    </w:p>
    <w:p w:rsidR="00B15DB7" w:rsidRPr="00FD7D41" w:rsidRDefault="00FD3088" w:rsidP="008A6FBA">
      <w:pPr>
        <w:shd w:val="clear" w:color="auto" w:fill="FFFFFF"/>
        <w:spacing w:after="120" w:line="240" w:lineRule="auto"/>
        <w:ind w:left="1701"/>
        <w:jc w:val="both"/>
        <w:rPr>
          <w:rFonts w:eastAsia="Times New Roman" w:cs="Arial"/>
          <w:color w:val="auto"/>
          <w:lang w:eastAsia="fr-FR"/>
        </w:rPr>
      </w:pPr>
      <w:r w:rsidRPr="00FD7D41">
        <w:rPr>
          <w:rFonts w:eastAsia="Times New Roman" w:cs="Arial"/>
          <w:bCs/>
          <w:color w:val="auto"/>
          <w:lang w:eastAsia="fr-FR"/>
        </w:rPr>
        <w:t>Les SATT</w:t>
      </w:r>
      <w:r w:rsidR="00706203" w:rsidRPr="00FD7D41">
        <w:rPr>
          <w:rFonts w:eastAsia="Times New Roman" w:cs="Arial"/>
          <w:bCs/>
          <w:color w:val="auto"/>
          <w:lang w:eastAsia="fr-FR"/>
        </w:rPr>
        <w:t xml:space="preserve"> </w:t>
      </w:r>
      <w:r w:rsidR="00691DD8" w:rsidRPr="00FD7D41">
        <w:rPr>
          <w:rFonts w:eastAsia="Times New Roman" w:cs="Arial"/>
          <w:bCs/>
          <w:color w:val="auto"/>
          <w:lang w:eastAsia="fr-FR"/>
        </w:rPr>
        <w:t xml:space="preserve">auront une double </w:t>
      </w:r>
      <w:r w:rsidR="00B7111C" w:rsidRPr="00FD7D41">
        <w:rPr>
          <w:rFonts w:eastAsia="Times New Roman" w:cs="Arial"/>
          <w:bCs/>
          <w:color w:val="auto"/>
          <w:lang w:eastAsia="fr-FR"/>
        </w:rPr>
        <w:t xml:space="preserve">mission </w:t>
      </w:r>
      <w:r w:rsidR="00691DD8" w:rsidRPr="00FD7D41">
        <w:rPr>
          <w:rFonts w:eastAsia="Times New Roman" w:cs="Arial"/>
          <w:bCs/>
          <w:color w:val="auto"/>
          <w:lang w:eastAsia="fr-FR"/>
        </w:rPr>
        <w:t>: une activité principale consacrée au financement</w:t>
      </w:r>
      <w:r w:rsidR="00691DD8" w:rsidRPr="00FD7D41">
        <w:rPr>
          <w:rFonts w:eastAsia="Times New Roman" w:cs="Arial"/>
          <w:color w:val="auto"/>
          <w:lang w:eastAsia="fr-FR"/>
        </w:rPr>
        <w:t xml:space="preserve"> des phases de</w:t>
      </w:r>
      <w:r w:rsidR="00706203" w:rsidRPr="00FD7D41">
        <w:rPr>
          <w:rFonts w:eastAsia="Times New Roman" w:cs="Arial"/>
          <w:color w:val="auto"/>
          <w:lang w:eastAsia="fr-FR"/>
        </w:rPr>
        <w:t xml:space="preserve"> </w:t>
      </w:r>
      <w:r w:rsidR="00691DD8" w:rsidRPr="00FD7D41">
        <w:rPr>
          <w:rFonts w:eastAsia="Times New Roman" w:cs="Arial"/>
          <w:color w:val="auto"/>
          <w:lang w:eastAsia="fr-FR"/>
        </w:rPr>
        <w:t>maturation des inventions et de preuve de concept, une deuxième activité consacrée à la</w:t>
      </w:r>
      <w:r w:rsidR="00706203" w:rsidRPr="00FD7D41">
        <w:rPr>
          <w:rFonts w:eastAsia="Times New Roman" w:cs="Arial"/>
          <w:color w:val="auto"/>
          <w:lang w:eastAsia="fr-FR"/>
        </w:rPr>
        <w:t xml:space="preserve"> </w:t>
      </w:r>
      <w:r w:rsidR="00691DD8" w:rsidRPr="00FD7D41">
        <w:rPr>
          <w:rFonts w:eastAsia="Times New Roman" w:cs="Arial"/>
          <w:color w:val="auto"/>
          <w:lang w:eastAsia="fr-FR"/>
        </w:rPr>
        <w:t xml:space="preserve">prestation de services de valorisation auprès des acteurs locaux de la </w:t>
      </w:r>
      <w:r w:rsidR="00C75C99" w:rsidRPr="00FD7D41">
        <w:rPr>
          <w:rFonts w:eastAsia="Times New Roman" w:cs="Arial"/>
          <w:color w:val="auto"/>
          <w:lang w:eastAsia="fr-FR"/>
        </w:rPr>
        <w:t>R&amp;D</w:t>
      </w:r>
      <w:r w:rsidR="00B15DB7" w:rsidRPr="00FD7D41">
        <w:rPr>
          <w:rFonts w:eastAsia="Times New Roman" w:cs="Arial"/>
          <w:color w:val="auto"/>
          <w:lang w:eastAsia="fr-FR"/>
        </w:rPr>
        <w:t>.</w:t>
      </w:r>
    </w:p>
    <w:p w:rsidR="00FB32D5" w:rsidRPr="00FD7D41" w:rsidRDefault="00691DD8" w:rsidP="008A6FBA">
      <w:pPr>
        <w:shd w:val="clear" w:color="auto" w:fill="FFFFFF"/>
        <w:spacing w:after="120" w:line="240" w:lineRule="auto"/>
        <w:ind w:left="1701"/>
        <w:jc w:val="both"/>
        <w:rPr>
          <w:rFonts w:eastAsia="Times New Roman" w:cs="Arial"/>
          <w:color w:val="auto"/>
          <w:lang w:eastAsia="fr-FR"/>
        </w:rPr>
      </w:pPr>
      <w:r w:rsidRPr="00FD7D41">
        <w:rPr>
          <w:rFonts w:eastAsia="Times New Roman" w:cs="Arial"/>
          <w:color w:val="auto"/>
          <w:lang w:eastAsia="fr-FR"/>
        </w:rPr>
        <w:t>Leur modèle économique reposera sur la</w:t>
      </w:r>
      <w:r w:rsidR="00706203" w:rsidRPr="00FD7D41">
        <w:rPr>
          <w:rFonts w:eastAsia="Times New Roman" w:cs="Arial"/>
          <w:color w:val="auto"/>
          <w:lang w:eastAsia="fr-FR"/>
        </w:rPr>
        <w:t xml:space="preserve"> </w:t>
      </w:r>
      <w:r w:rsidRPr="00FD7D41">
        <w:rPr>
          <w:rFonts w:eastAsia="Times New Roman" w:cs="Arial"/>
          <w:color w:val="auto"/>
          <w:lang w:eastAsia="fr-FR"/>
        </w:rPr>
        <w:t>prestation de services, le soutien à la maturation et l’investissement.</w:t>
      </w:r>
    </w:p>
    <w:p w:rsidR="000619FA" w:rsidRPr="00FD7D41" w:rsidRDefault="00FB32D5" w:rsidP="008A6FBA">
      <w:pPr>
        <w:shd w:val="clear" w:color="auto" w:fill="FFFFFF"/>
        <w:spacing w:after="120" w:line="240" w:lineRule="auto"/>
        <w:ind w:left="1701"/>
        <w:jc w:val="both"/>
        <w:rPr>
          <w:rFonts w:eastAsia="Times New Roman" w:cs="Arial"/>
          <w:color w:val="auto"/>
          <w:lang w:eastAsia="fr-FR"/>
        </w:rPr>
      </w:pPr>
      <w:r w:rsidRPr="00FD7D41">
        <w:rPr>
          <w:rFonts w:eastAsia="Times New Roman" w:cs="Arial"/>
          <w:color w:val="auto"/>
          <w:lang w:eastAsia="fr-FR"/>
        </w:rPr>
        <w:t>Le plan d’affaires prévoit un équilibre financier hors intervention de l’ANR dans le cadre</w:t>
      </w:r>
      <w:r w:rsidR="00731041" w:rsidRPr="00FD7D41">
        <w:rPr>
          <w:rFonts w:eastAsia="Times New Roman" w:cs="Arial"/>
          <w:color w:val="auto"/>
          <w:lang w:eastAsia="fr-FR"/>
        </w:rPr>
        <w:t xml:space="preserve"> des Investissements d’A</w:t>
      </w:r>
      <w:r w:rsidRPr="00FD7D41">
        <w:rPr>
          <w:rFonts w:eastAsia="Times New Roman" w:cs="Arial"/>
          <w:color w:val="auto"/>
          <w:lang w:eastAsia="fr-FR"/>
        </w:rPr>
        <w:t>venir au plus tard au terme des 10 premières années d’exercice.</w:t>
      </w:r>
    </w:p>
    <w:p w:rsidR="00DF2727" w:rsidRDefault="00DF2727" w:rsidP="008A6FBA">
      <w:pPr>
        <w:spacing w:after="120" w:line="240" w:lineRule="auto"/>
        <w:ind w:left="1701"/>
        <w:jc w:val="both"/>
        <w:rPr>
          <w:noProof/>
          <w:color w:val="auto"/>
          <w:lang w:eastAsia="fr-FR"/>
        </w:rPr>
      </w:pPr>
      <w:r w:rsidRPr="00FD7D41">
        <w:rPr>
          <w:noProof/>
          <w:color w:val="auto"/>
          <w:lang w:eastAsia="fr-FR"/>
        </w:rPr>
        <w:t>Dans la suite des engagements pris en janvier 2</w:t>
      </w:r>
      <w:r w:rsidR="00A9036C">
        <w:rPr>
          <w:noProof/>
          <w:color w:val="auto"/>
          <w:lang w:eastAsia="fr-FR"/>
        </w:rPr>
        <w:t>010 par les présidents de l’UEB et</w:t>
      </w:r>
      <w:r w:rsidRPr="00FD7D41">
        <w:rPr>
          <w:noProof/>
          <w:color w:val="auto"/>
          <w:lang w:eastAsia="fr-FR"/>
        </w:rPr>
        <w:t xml:space="preserve"> de L’UNAM pour la création d’une SATT à l’échelle des régions Bretagne et Pays de la Loire au titre des appels à projets </w:t>
      </w:r>
      <w:r w:rsidR="002A11FA">
        <w:rPr>
          <w:noProof/>
          <w:color w:val="auto"/>
          <w:lang w:eastAsia="fr-FR"/>
        </w:rPr>
        <w:t>Investissements d’Avenir</w:t>
      </w:r>
      <w:r w:rsidRPr="00FD7D41">
        <w:rPr>
          <w:noProof/>
          <w:color w:val="auto"/>
          <w:lang w:eastAsia="fr-FR"/>
        </w:rPr>
        <w:t>, un projet dénommé « Ouest Valorisation » a été produit par les équipes de Bretagne Valorisation e</w:t>
      </w:r>
      <w:r w:rsidR="00C57068">
        <w:rPr>
          <w:noProof/>
          <w:color w:val="auto"/>
          <w:lang w:eastAsia="fr-FR"/>
        </w:rPr>
        <w:t xml:space="preserve">t </w:t>
      </w:r>
      <w:r w:rsidR="00A9036C">
        <w:rPr>
          <w:noProof/>
          <w:color w:val="auto"/>
          <w:lang w:eastAsia="fr-FR"/>
        </w:rPr>
        <w:t>de L’UNAM.</w:t>
      </w:r>
    </w:p>
    <w:p w:rsidR="00C57068" w:rsidRPr="00FD7D41" w:rsidRDefault="00C57068" w:rsidP="008A6FBA">
      <w:pPr>
        <w:spacing w:after="120" w:line="240" w:lineRule="auto"/>
        <w:ind w:left="1701"/>
        <w:jc w:val="both"/>
        <w:rPr>
          <w:noProof/>
          <w:color w:val="auto"/>
          <w:lang w:eastAsia="fr-FR"/>
        </w:rPr>
      </w:pPr>
    </w:p>
    <w:p w:rsidR="001A268F" w:rsidRPr="00C50043" w:rsidRDefault="0058263A" w:rsidP="008A6FBA">
      <w:pPr>
        <w:pStyle w:val="Titre2"/>
        <w:spacing w:before="0"/>
        <w:ind w:left="0"/>
        <w:rPr>
          <w:color w:val="00819B"/>
        </w:rPr>
      </w:pPr>
      <w:r w:rsidRPr="00C50043">
        <w:rPr>
          <w:color w:val="00819B"/>
        </w:rPr>
        <w:t>1</w:t>
      </w:r>
      <w:r w:rsidR="006C7973" w:rsidRPr="00C50043">
        <w:rPr>
          <w:color w:val="00819B"/>
        </w:rPr>
        <w:t>.</w:t>
      </w:r>
      <w:r w:rsidR="00E50B08" w:rsidRPr="00C50043">
        <w:rPr>
          <w:color w:val="00819B"/>
        </w:rPr>
        <w:t xml:space="preserve"> </w:t>
      </w:r>
      <w:r w:rsidR="00AC69CC" w:rsidRPr="00C50043">
        <w:rPr>
          <w:color w:val="00819B"/>
        </w:rPr>
        <w:t xml:space="preserve">Données </w:t>
      </w:r>
      <w:r w:rsidR="00E50B08" w:rsidRPr="00C50043">
        <w:rPr>
          <w:color w:val="00819B"/>
        </w:rPr>
        <w:t>de cadrage</w:t>
      </w:r>
    </w:p>
    <w:p w:rsidR="00E50B08" w:rsidRPr="006F6030" w:rsidRDefault="0058263A" w:rsidP="008A6FBA">
      <w:pPr>
        <w:pStyle w:val="Titre3"/>
        <w:spacing w:before="0"/>
        <w:ind w:left="0"/>
        <w:rPr>
          <w:color w:val="auto"/>
        </w:rPr>
      </w:pPr>
      <w:r w:rsidRPr="006F6030">
        <w:rPr>
          <w:color w:val="auto"/>
        </w:rPr>
        <w:t>1</w:t>
      </w:r>
      <w:r w:rsidR="00683301" w:rsidRPr="006F6030">
        <w:rPr>
          <w:color w:val="auto"/>
        </w:rPr>
        <w:t xml:space="preserve">.1 </w:t>
      </w:r>
      <w:r w:rsidR="00E50B08" w:rsidRPr="006F6030">
        <w:rPr>
          <w:color w:val="auto"/>
        </w:rPr>
        <w:t xml:space="preserve">Fonds </w:t>
      </w:r>
      <w:r w:rsidR="00D55B2F" w:rsidRPr="006F6030">
        <w:rPr>
          <w:color w:val="auto"/>
        </w:rPr>
        <w:t xml:space="preserve">national </w:t>
      </w:r>
      <w:r w:rsidR="006F6030">
        <w:rPr>
          <w:color w:val="auto"/>
        </w:rPr>
        <w:t>de valorisation</w:t>
      </w:r>
    </w:p>
    <w:p w:rsidR="00474F47" w:rsidRPr="00FD7D41" w:rsidRDefault="00474F47" w:rsidP="00C75C99">
      <w:pPr>
        <w:spacing w:line="240" w:lineRule="auto"/>
        <w:ind w:left="1701"/>
        <w:rPr>
          <w:rFonts w:cs="Arial"/>
          <w:color w:val="auto"/>
        </w:rPr>
      </w:pPr>
      <w:r w:rsidRPr="00FD7D41">
        <w:rPr>
          <w:rFonts w:cs="Arial"/>
          <w:color w:val="auto"/>
        </w:rPr>
        <w:t xml:space="preserve">L’enveloppe </w:t>
      </w:r>
      <w:r w:rsidR="00B15DB7" w:rsidRPr="00FD7D41">
        <w:rPr>
          <w:rFonts w:cs="Arial"/>
          <w:color w:val="auto"/>
        </w:rPr>
        <w:t>d’un</w:t>
      </w:r>
      <w:r w:rsidRPr="00FD7D41">
        <w:rPr>
          <w:rFonts w:cs="Arial"/>
          <w:color w:val="auto"/>
        </w:rPr>
        <w:t xml:space="preserve"> milliard d’euros est répartie comme suit :</w:t>
      </w:r>
    </w:p>
    <w:p w:rsidR="00691DD8" w:rsidRPr="00FD7D41" w:rsidRDefault="00691DD8" w:rsidP="00C75C99">
      <w:pPr>
        <w:pStyle w:val="Paragraphedeliste"/>
        <w:numPr>
          <w:ilvl w:val="0"/>
          <w:numId w:val="7"/>
        </w:numPr>
        <w:spacing w:line="240" w:lineRule="auto"/>
        <w:ind w:left="1985" w:hanging="284"/>
        <w:jc w:val="both"/>
        <w:rPr>
          <w:rFonts w:cs="Arial"/>
          <w:color w:val="auto"/>
        </w:rPr>
      </w:pPr>
      <w:r w:rsidRPr="00FD7D41">
        <w:rPr>
          <w:rFonts w:cs="Arial"/>
          <w:color w:val="auto"/>
        </w:rPr>
        <w:t>900 M€ pour la création d’une di</w:t>
      </w:r>
      <w:r w:rsidR="00706203" w:rsidRPr="00FD7D41">
        <w:rPr>
          <w:rFonts w:cs="Arial"/>
          <w:color w:val="auto"/>
        </w:rPr>
        <w:t>zaine de SATT, dont 6 au plus seront sélectionnées</w:t>
      </w:r>
      <w:r w:rsidRPr="00FD7D41">
        <w:rPr>
          <w:rFonts w:cs="Arial"/>
          <w:color w:val="auto"/>
        </w:rPr>
        <w:t xml:space="preserve"> dans le cadre de l’appel à projets en cours</w:t>
      </w:r>
      <w:r w:rsidR="00F02533" w:rsidRPr="00FD7D41">
        <w:rPr>
          <w:rFonts w:cs="Arial"/>
          <w:color w:val="auto"/>
        </w:rPr>
        <w:t xml:space="preserve"> </w:t>
      </w:r>
      <w:r w:rsidR="00B15DB7" w:rsidRPr="00FD7D41">
        <w:rPr>
          <w:rFonts w:cs="Arial"/>
          <w:color w:val="auto"/>
        </w:rPr>
        <w:t>(</w:t>
      </w:r>
      <w:r w:rsidR="00F02533" w:rsidRPr="00FD7D41">
        <w:rPr>
          <w:rFonts w:cs="Arial"/>
          <w:color w:val="auto"/>
        </w:rPr>
        <w:t>clôture le 29/11/2010</w:t>
      </w:r>
      <w:r w:rsidR="00B15DB7" w:rsidRPr="00FD7D41">
        <w:rPr>
          <w:rFonts w:cs="Arial"/>
          <w:color w:val="auto"/>
        </w:rPr>
        <w:t>)</w:t>
      </w:r>
      <w:r w:rsidR="002C4A56">
        <w:rPr>
          <w:rFonts w:cs="Arial"/>
          <w:color w:val="auto"/>
        </w:rPr>
        <w:t> ;</w:t>
      </w:r>
    </w:p>
    <w:p w:rsidR="00164466" w:rsidRPr="00FD7D41" w:rsidRDefault="00691DD8" w:rsidP="00C75C99">
      <w:pPr>
        <w:pStyle w:val="Paragraphedeliste"/>
        <w:numPr>
          <w:ilvl w:val="0"/>
          <w:numId w:val="7"/>
        </w:numPr>
        <w:spacing w:line="240" w:lineRule="auto"/>
        <w:ind w:left="1985" w:hanging="284"/>
        <w:jc w:val="both"/>
        <w:rPr>
          <w:rFonts w:cs="Arial"/>
          <w:color w:val="auto"/>
        </w:rPr>
      </w:pPr>
      <w:r w:rsidRPr="00FD7D41">
        <w:rPr>
          <w:rFonts w:cs="Arial"/>
          <w:color w:val="auto"/>
        </w:rPr>
        <w:t>100 M€ pour la structuration nationale au travers de deux dispositifs :</w:t>
      </w:r>
    </w:p>
    <w:p w:rsidR="00164466" w:rsidRPr="00FD7D41" w:rsidRDefault="00691DD8" w:rsidP="002C4A56">
      <w:pPr>
        <w:pStyle w:val="Paragraphedeliste"/>
        <w:numPr>
          <w:ilvl w:val="0"/>
          <w:numId w:val="13"/>
        </w:numPr>
        <w:tabs>
          <w:tab w:val="left" w:pos="2492"/>
        </w:tabs>
        <w:spacing w:line="240" w:lineRule="auto"/>
        <w:ind w:hanging="244"/>
        <w:jc w:val="both"/>
        <w:rPr>
          <w:rFonts w:cs="Arial"/>
          <w:color w:val="auto"/>
        </w:rPr>
      </w:pPr>
      <w:r w:rsidRPr="00FD7D41">
        <w:rPr>
          <w:rFonts w:cs="Arial"/>
          <w:color w:val="auto"/>
        </w:rPr>
        <w:t>50 M€ aux consort</w:t>
      </w:r>
      <w:r w:rsidR="00706203" w:rsidRPr="00FD7D41">
        <w:rPr>
          <w:rFonts w:cs="Arial"/>
          <w:color w:val="auto"/>
        </w:rPr>
        <w:t>i</w:t>
      </w:r>
      <w:r w:rsidRPr="00FD7D41">
        <w:rPr>
          <w:rFonts w:cs="Arial"/>
          <w:color w:val="auto"/>
        </w:rPr>
        <w:t xml:space="preserve">ums de valorisation </w:t>
      </w:r>
      <w:r w:rsidR="00706203" w:rsidRPr="00FD7D41">
        <w:rPr>
          <w:rFonts w:cs="Arial"/>
          <w:color w:val="auto"/>
        </w:rPr>
        <w:t>t</w:t>
      </w:r>
      <w:r w:rsidR="00AC69CC" w:rsidRPr="00FD7D41">
        <w:rPr>
          <w:rFonts w:cs="Arial"/>
          <w:color w:val="auto"/>
        </w:rPr>
        <w:t>hé</w:t>
      </w:r>
      <w:r w:rsidR="00706203" w:rsidRPr="00FD7D41">
        <w:rPr>
          <w:rFonts w:cs="Arial"/>
          <w:color w:val="auto"/>
        </w:rPr>
        <w:t>matiques</w:t>
      </w:r>
      <w:r w:rsidRPr="00FD7D41">
        <w:rPr>
          <w:rFonts w:cs="Arial"/>
          <w:color w:val="auto"/>
        </w:rPr>
        <w:t xml:space="preserve"> (de l’ordre de 5) qui proposeront des services de valorisation à forte valeur ajoutée aux SATT</w:t>
      </w:r>
      <w:r w:rsidR="00E50B08" w:rsidRPr="00FD7D41">
        <w:rPr>
          <w:rFonts w:cs="Arial"/>
          <w:color w:val="auto"/>
        </w:rPr>
        <w:t> ;</w:t>
      </w:r>
    </w:p>
    <w:p w:rsidR="00691DD8" w:rsidRPr="00FD7D41" w:rsidRDefault="00691DD8" w:rsidP="002C4A56">
      <w:pPr>
        <w:pStyle w:val="Paragraphedeliste"/>
        <w:numPr>
          <w:ilvl w:val="0"/>
          <w:numId w:val="13"/>
        </w:numPr>
        <w:tabs>
          <w:tab w:val="left" w:pos="2492"/>
        </w:tabs>
        <w:spacing w:line="240" w:lineRule="auto"/>
        <w:ind w:hanging="244"/>
        <w:jc w:val="both"/>
        <w:rPr>
          <w:rFonts w:cs="Arial"/>
          <w:color w:val="auto"/>
        </w:rPr>
      </w:pPr>
      <w:r w:rsidRPr="00FD7D41">
        <w:rPr>
          <w:rFonts w:cs="Arial"/>
          <w:color w:val="auto"/>
        </w:rPr>
        <w:t xml:space="preserve">50 M€ à France Brevets, </w:t>
      </w:r>
      <w:r w:rsidR="00706203" w:rsidRPr="00FD7D41">
        <w:rPr>
          <w:rFonts w:cs="Arial"/>
          <w:color w:val="auto"/>
        </w:rPr>
        <w:t xml:space="preserve">structure </w:t>
      </w:r>
      <w:r w:rsidR="008A6FBA" w:rsidRPr="00FD7D41">
        <w:rPr>
          <w:rFonts w:cs="Arial"/>
          <w:color w:val="auto"/>
        </w:rPr>
        <w:t>œuvrant</w:t>
      </w:r>
      <w:r w:rsidR="00706203" w:rsidRPr="00FD7D41">
        <w:rPr>
          <w:rFonts w:cs="Arial"/>
          <w:color w:val="auto"/>
        </w:rPr>
        <w:t xml:space="preserve"> à</w:t>
      </w:r>
      <w:r w:rsidRPr="00FD7D41">
        <w:rPr>
          <w:rFonts w:cs="Arial"/>
          <w:color w:val="auto"/>
        </w:rPr>
        <w:t xml:space="preserve"> l’émergence d’un marché de la PI et dans lequel la Ca</w:t>
      </w:r>
      <w:r w:rsidR="00E50B08" w:rsidRPr="00FD7D41">
        <w:rPr>
          <w:rFonts w:cs="Arial"/>
          <w:color w:val="auto"/>
        </w:rPr>
        <w:t>isse des Dépôts investira 50 M€</w:t>
      </w:r>
      <w:r w:rsidR="00B15DB7" w:rsidRPr="00FD7D41">
        <w:rPr>
          <w:rFonts w:cs="Arial"/>
          <w:color w:val="auto"/>
        </w:rPr>
        <w:t xml:space="preserve"> en propre</w:t>
      </w:r>
      <w:r w:rsidR="00E50B08" w:rsidRPr="00FD7D41">
        <w:rPr>
          <w:rFonts w:cs="Arial"/>
          <w:color w:val="auto"/>
        </w:rPr>
        <w:t>.</w:t>
      </w:r>
    </w:p>
    <w:p w:rsidR="00683301" w:rsidRPr="006F6030" w:rsidRDefault="008A6FBA" w:rsidP="00C5527D">
      <w:pPr>
        <w:pStyle w:val="Titre3"/>
        <w:spacing w:after="120"/>
        <w:ind w:left="0"/>
        <w:rPr>
          <w:color w:val="auto"/>
        </w:rPr>
      </w:pPr>
      <w:r>
        <w:rPr>
          <w:rFonts w:ascii="Arial" w:hAnsi="Arial"/>
          <w:noProof/>
          <w:color w:val="262626" w:themeColor="text1" w:themeTint="D9"/>
          <w:sz w:val="20"/>
          <w:szCs w:val="20"/>
          <w:lang w:eastAsia="fr-FR" w:bidi="ar-SA"/>
        </w:rPr>
        <w:drawing>
          <wp:anchor distT="0" distB="0" distL="114300" distR="114300" simplePos="0" relativeHeight="251658240" behindDoc="0" locked="0" layoutInCell="1" allowOverlap="1">
            <wp:simplePos x="0" y="0"/>
            <wp:positionH relativeFrom="margin">
              <wp:posOffset>4525010</wp:posOffset>
            </wp:positionH>
            <wp:positionV relativeFrom="margin">
              <wp:posOffset>9076690</wp:posOffset>
            </wp:positionV>
            <wp:extent cx="1575435" cy="607060"/>
            <wp:effectExtent l="19050" t="0" r="5715" b="0"/>
            <wp:wrapSquare wrapText="bothSides"/>
            <wp:docPr id="1" name="Image 0" descr="lunam.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am.eps"/>
                    <pic:cNvPicPr/>
                  </pic:nvPicPr>
                  <pic:blipFill>
                    <a:blip r:embed="rId8" cstate="print"/>
                    <a:stretch>
                      <a:fillRect/>
                    </a:stretch>
                  </pic:blipFill>
                  <pic:spPr>
                    <a:xfrm>
                      <a:off x="0" y="0"/>
                      <a:ext cx="1575435" cy="607060"/>
                    </a:xfrm>
                    <a:prstGeom prst="rect">
                      <a:avLst/>
                    </a:prstGeom>
                  </pic:spPr>
                </pic:pic>
              </a:graphicData>
            </a:graphic>
          </wp:anchor>
        </w:drawing>
      </w:r>
      <w:r w:rsidR="0097084C" w:rsidRPr="003748D4">
        <w:rPr>
          <w:rFonts w:ascii="Arial" w:hAnsi="Arial"/>
          <w:color w:val="262626" w:themeColor="text1" w:themeTint="D9"/>
          <w:sz w:val="20"/>
          <w:szCs w:val="20"/>
        </w:rPr>
        <w:br w:type="page"/>
      </w:r>
      <w:r w:rsidR="0058263A" w:rsidRPr="006F6030">
        <w:rPr>
          <w:color w:val="auto"/>
        </w:rPr>
        <w:lastRenderedPageBreak/>
        <w:t>1</w:t>
      </w:r>
      <w:r w:rsidR="00683301" w:rsidRPr="006F6030">
        <w:rPr>
          <w:color w:val="auto"/>
        </w:rPr>
        <w:t>.2 Les SATT</w:t>
      </w:r>
    </w:p>
    <w:p w:rsidR="00691DD8" w:rsidRPr="00A66831" w:rsidRDefault="00744E46" w:rsidP="00044E87">
      <w:pPr>
        <w:spacing w:before="80" w:after="40" w:line="240" w:lineRule="auto"/>
        <w:ind w:left="0"/>
        <w:rPr>
          <w:rFonts w:cs="Arial"/>
          <w:b/>
        </w:rPr>
      </w:pPr>
      <w:r w:rsidRPr="00A66831">
        <w:rPr>
          <w:rFonts w:cs="Arial"/>
          <w:b/>
        </w:rPr>
        <w:t>Objectifs</w:t>
      </w:r>
      <w:r w:rsidR="00691DD8" w:rsidRPr="00A66831">
        <w:rPr>
          <w:rFonts w:cs="Arial"/>
          <w:b/>
        </w:rPr>
        <w:t xml:space="preserve"> </w:t>
      </w:r>
      <w:r w:rsidR="00683301" w:rsidRPr="00A66831">
        <w:rPr>
          <w:rFonts w:cs="Arial"/>
          <w:b/>
        </w:rPr>
        <w:t>et missions</w:t>
      </w:r>
    </w:p>
    <w:p w:rsidR="00ED77F1" w:rsidRPr="00FD7D41" w:rsidRDefault="00744E46" w:rsidP="000F7990">
      <w:pPr>
        <w:autoSpaceDE w:val="0"/>
        <w:autoSpaceDN w:val="0"/>
        <w:adjustRightInd w:val="0"/>
        <w:spacing w:after="40" w:line="240" w:lineRule="auto"/>
        <w:ind w:left="1701"/>
        <w:jc w:val="both"/>
        <w:rPr>
          <w:rFonts w:cs="Arial"/>
          <w:color w:val="auto"/>
        </w:rPr>
      </w:pPr>
      <w:r w:rsidRPr="00FD7D41">
        <w:rPr>
          <w:rFonts w:cs="Arial"/>
          <w:color w:val="auto"/>
        </w:rPr>
        <w:t>Ces sociétés regrouperont l’ensemble des équipes de valorisatio</w:t>
      </w:r>
      <w:r w:rsidR="002D5D61" w:rsidRPr="00FD7D41">
        <w:rPr>
          <w:rFonts w:cs="Arial"/>
          <w:color w:val="auto"/>
        </w:rPr>
        <w:t>n d’un grand site universitaire</w:t>
      </w:r>
      <w:r w:rsidRPr="00FD7D41">
        <w:rPr>
          <w:rFonts w:cs="Arial"/>
          <w:color w:val="auto"/>
        </w:rPr>
        <w:t xml:space="preserve"> pour mettre fin au morcellement des structures, atteindre une taille critique et accélérer la profes</w:t>
      </w:r>
      <w:r w:rsidR="00706203" w:rsidRPr="00FD7D41">
        <w:rPr>
          <w:rFonts w:cs="Arial"/>
          <w:color w:val="auto"/>
        </w:rPr>
        <w:t>sionnalisation des compétences.</w:t>
      </w:r>
      <w:r w:rsidR="003A4B7A" w:rsidRPr="00FD7D41">
        <w:rPr>
          <w:rFonts w:cs="Arial"/>
          <w:color w:val="auto"/>
        </w:rPr>
        <w:t xml:space="preserve"> </w:t>
      </w:r>
    </w:p>
    <w:p w:rsidR="00164466" w:rsidRPr="00FD7D41" w:rsidRDefault="004E1BE7" w:rsidP="000F7990">
      <w:pPr>
        <w:autoSpaceDE w:val="0"/>
        <w:autoSpaceDN w:val="0"/>
        <w:adjustRightInd w:val="0"/>
        <w:spacing w:after="40" w:line="240" w:lineRule="auto"/>
        <w:ind w:left="1701"/>
        <w:jc w:val="both"/>
        <w:rPr>
          <w:rFonts w:cs="Arial"/>
          <w:color w:val="auto"/>
        </w:rPr>
      </w:pPr>
      <w:r w:rsidRPr="00FD7D41">
        <w:rPr>
          <w:rFonts w:cs="Arial"/>
          <w:color w:val="auto"/>
        </w:rPr>
        <w:t>U</w:t>
      </w:r>
      <w:r w:rsidR="004D4DEE" w:rsidRPr="00FD7D41">
        <w:rPr>
          <w:rFonts w:cs="Arial"/>
          <w:color w:val="auto"/>
        </w:rPr>
        <w:t>n potentiel de R&amp;D minimal</w:t>
      </w:r>
      <w:r w:rsidRPr="00FD7D41">
        <w:rPr>
          <w:rStyle w:val="Appelnotedebasdep"/>
          <w:rFonts w:cs="Arial"/>
          <w:color w:val="auto"/>
        </w:rPr>
        <w:footnoteReference w:id="1"/>
      </w:r>
      <w:r w:rsidR="004D4DEE" w:rsidRPr="00FD7D41">
        <w:rPr>
          <w:rFonts w:cs="Arial"/>
          <w:color w:val="auto"/>
        </w:rPr>
        <w:t xml:space="preserve"> de 300 M€ sur le périmètre d’intervention de la SATT est souhaitable pour tirer profit d’économies d’échelle. Par ailleurs, l</w:t>
      </w:r>
      <w:r w:rsidR="003A4B7A" w:rsidRPr="00FD7D41">
        <w:rPr>
          <w:rFonts w:cs="Arial"/>
          <w:color w:val="auto"/>
        </w:rPr>
        <w:t>a création de la SATT s’accompagne de la suppression des structures dont les missions lui ont été transférées</w:t>
      </w:r>
      <w:r w:rsidR="004D4DEE" w:rsidRPr="00FD7D41">
        <w:rPr>
          <w:rFonts w:cs="Arial"/>
          <w:color w:val="auto"/>
        </w:rPr>
        <w:t>.</w:t>
      </w:r>
    </w:p>
    <w:p w:rsidR="00691DD8" w:rsidRPr="00FD7D41" w:rsidRDefault="00B95F9A" w:rsidP="000F7990">
      <w:pPr>
        <w:autoSpaceDE w:val="0"/>
        <w:autoSpaceDN w:val="0"/>
        <w:adjustRightInd w:val="0"/>
        <w:spacing w:after="40" w:line="240" w:lineRule="auto"/>
        <w:ind w:left="1701"/>
        <w:jc w:val="both"/>
        <w:rPr>
          <w:rFonts w:cs="Arial"/>
          <w:color w:val="auto"/>
        </w:rPr>
      </w:pPr>
      <w:r w:rsidRPr="00FD7D41">
        <w:rPr>
          <w:rFonts w:cs="Arial"/>
          <w:color w:val="auto"/>
        </w:rPr>
        <w:t>M</w:t>
      </w:r>
      <w:r w:rsidR="00E50B08" w:rsidRPr="00FD7D41">
        <w:rPr>
          <w:rFonts w:cs="Arial"/>
          <w:color w:val="auto"/>
        </w:rPr>
        <w:t>issions :</w:t>
      </w:r>
    </w:p>
    <w:p w:rsidR="0027475F" w:rsidRPr="00FD7D41" w:rsidRDefault="00683301" w:rsidP="000F7990">
      <w:pPr>
        <w:pStyle w:val="Paragraphedeliste"/>
        <w:numPr>
          <w:ilvl w:val="0"/>
          <w:numId w:val="9"/>
        </w:numPr>
        <w:spacing w:after="40" w:line="240" w:lineRule="auto"/>
        <w:ind w:left="1985" w:hanging="284"/>
        <w:jc w:val="both"/>
        <w:rPr>
          <w:rFonts w:cs="Arial"/>
          <w:color w:val="auto"/>
        </w:rPr>
      </w:pPr>
      <w:r w:rsidRPr="00FD7D41">
        <w:rPr>
          <w:rFonts w:cs="Arial"/>
          <w:color w:val="auto"/>
        </w:rPr>
        <w:t>l</w:t>
      </w:r>
      <w:r w:rsidR="00E50B08" w:rsidRPr="00FD7D41">
        <w:rPr>
          <w:rFonts w:cs="Arial"/>
          <w:color w:val="auto"/>
        </w:rPr>
        <w:t xml:space="preserve">a principale mission </w:t>
      </w:r>
      <w:r w:rsidR="00B95F9A" w:rsidRPr="00FD7D41">
        <w:rPr>
          <w:rFonts w:cs="Arial"/>
          <w:color w:val="auto"/>
        </w:rPr>
        <w:t>d’une</w:t>
      </w:r>
      <w:r w:rsidR="00706203" w:rsidRPr="00FD7D41">
        <w:rPr>
          <w:rFonts w:cs="Arial"/>
          <w:color w:val="auto"/>
        </w:rPr>
        <w:t xml:space="preserve"> SATT</w:t>
      </w:r>
      <w:r w:rsidR="007B2620" w:rsidRPr="00FD7D41">
        <w:rPr>
          <w:rFonts w:cs="Arial"/>
          <w:color w:val="auto"/>
        </w:rPr>
        <w:t xml:space="preserve"> </w:t>
      </w:r>
      <w:r w:rsidRPr="00FD7D41">
        <w:rPr>
          <w:rFonts w:cs="Arial"/>
          <w:color w:val="auto"/>
        </w:rPr>
        <w:t>est de renforcer</w:t>
      </w:r>
      <w:r w:rsidR="007B2620" w:rsidRPr="00FD7D41">
        <w:rPr>
          <w:rFonts w:cs="Arial"/>
          <w:color w:val="auto"/>
        </w:rPr>
        <w:t xml:space="preserve"> le financement et l’accompagnement de projets en phase de</w:t>
      </w:r>
      <w:r w:rsidR="004668B6" w:rsidRPr="00FD7D41">
        <w:rPr>
          <w:rFonts w:cs="Arial"/>
          <w:color w:val="auto"/>
        </w:rPr>
        <w:t xml:space="preserve"> m</w:t>
      </w:r>
      <w:r w:rsidR="007B2620" w:rsidRPr="00FD7D41">
        <w:rPr>
          <w:rFonts w:cs="Arial"/>
          <w:color w:val="auto"/>
        </w:rPr>
        <w:t>aturation</w:t>
      </w:r>
      <w:r w:rsidR="00F21AF8" w:rsidRPr="00FD7D41">
        <w:rPr>
          <w:rFonts w:cs="Arial"/>
          <w:color w:val="auto"/>
        </w:rPr>
        <w:t> ;</w:t>
      </w:r>
      <w:r w:rsidR="00223804" w:rsidRPr="00FD7D41">
        <w:rPr>
          <w:rFonts w:cs="Arial"/>
          <w:color w:val="auto"/>
        </w:rPr>
        <w:t xml:space="preserve"> cette activité est financée par le fonds de maturation durant les 10 ans du programme.</w:t>
      </w:r>
    </w:p>
    <w:p w:rsidR="007B2620" w:rsidRPr="00FD7D41" w:rsidRDefault="00FB5A2F" w:rsidP="000F7990">
      <w:pPr>
        <w:pStyle w:val="Paragraphedeliste"/>
        <w:numPr>
          <w:ilvl w:val="0"/>
          <w:numId w:val="9"/>
        </w:numPr>
        <w:spacing w:after="40" w:line="240" w:lineRule="auto"/>
        <w:ind w:left="1985" w:hanging="284"/>
        <w:jc w:val="both"/>
        <w:rPr>
          <w:rFonts w:cs="Arial"/>
          <w:color w:val="auto"/>
        </w:rPr>
      </w:pPr>
      <w:r>
        <w:rPr>
          <w:rFonts w:cs="Arial"/>
          <w:color w:val="auto"/>
        </w:rPr>
        <w:t>Elle</w:t>
      </w:r>
      <w:r w:rsidR="007B2620" w:rsidRPr="00FD7D41">
        <w:rPr>
          <w:rFonts w:cs="Arial"/>
          <w:color w:val="auto"/>
        </w:rPr>
        <w:t xml:space="preserve"> réalise </w:t>
      </w:r>
      <w:r w:rsidR="00E806EB" w:rsidRPr="00FD7D41">
        <w:rPr>
          <w:rFonts w:cs="Arial"/>
          <w:color w:val="auto"/>
        </w:rPr>
        <w:t xml:space="preserve">aussi </w:t>
      </w:r>
      <w:r w:rsidR="007B2620" w:rsidRPr="00FD7D41">
        <w:rPr>
          <w:rFonts w:cs="Arial"/>
          <w:color w:val="auto"/>
        </w:rPr>
        <w:t>des prestations de service</w:t>
      </w:r>
      <w:r w:rsidR="00F21AF8" w:rsidRPr="00FD7D41">
        <w:rPr>
          <w:rFonts w:cs="Arial"/>
          <w:color w:val="auto"/>
        </w:rPr>
        <w:t xml:space="preserve"> facturées à prix de marché</w:t>
      </w:r>
      <w:r w:rsidR="007B2620" w:rsidRPr="00FD7D41">
        <w:rPr>
          <w:rFonts w:cs="Arial"/>
          <w:color w:val="auto"/>
        </w:rPr>
        <w:t>, principalement pour ses actionnaires</w:t>
      </w:r>
      <w:r w:rsidR="007B2620" w:rsidRPr="00FD7D41">
        <w:rPr>
          <w:rFonts w:cs="Arial"/>
          <w:i/>
          <w:color w:val="auto"/>
        </w:rPr>
        <w:t xml:space="preserve">. </w:t>
      </w:r>
      <w:r w:rsidR="00223804" w:rsidRPr="00FD7D41">
        <w:rPr>
          <w:rFonts w:cs="Arial"/>
          <w:color w:val="auto"/>
        </w:rPr>
        <w:t xml:space="preserve">Cette activité a vocation à s’autofinancer </w:t>
      </w:r>
      <w:r w:rsidR="00E806EB" w:rsidRPr="00FD7D41">
        <w:rPr>
          <w:rFonts w:cs="Arial"/>
          <w:color w:val="auto"/>
        </w:rPr>
        <w:t>rapidement.</w:t>
      </w:r>
    </w:p>
    <w:p w:rsidR="007B274F" w:rsidRPr="00A66831" w:rsidRDefault="00706203" w:rsidP="00044E87">
      <w:pPr>
        <w:spacing w:before="80" w:after="40" w:line="240" w:lineRule="auto"/>
        <w:ind w:left="0"/>
        <w:rPr>
          <w:rFonts w:cs="Arial"/>
          <w:b/>
        </w:rPr>
      </w:pPr>
      <w:r w:rsidRPr="00A66831">
        <w:rPr>
          <w:rFonts w:cs="Arial"/>
          <w:b/>
        </w:rPr>
        <w:t xml:space="preserve">Structure juridique </w:t>
      </w:r>
      <w:r w:rsidR="00FB32D5">
        <w:rPr>
          <w:rFonts w:cs="Arial"/>
          <w:b/>
        </w:rPr>
        <w:t>et organisation</w:t>
      </w:r>
    </w:p>
    <w:p w:rsidR="00691DD8" w:rsidRPr="00FD7D41" w:rsidRDefault="00691DD8" w:rsidP="000F7990">
      <w:pPr>
        <w:spacing w:after="40" w:line="240" w:lineRule="auto"/>
        <w:ind w:left="1701"/>
        <w:jc w:val="both"/>
        <w:rPr>
          <w:rFonts w:cs="Arial"/>
          <w:color w:val="auto"/>
        </w:rPr>
      </w:pPr>
      <w:r w:rsidRPr="00FD7D41">
        <w:rPr>
          <w:rFonts w:cs="Arial"/>
          <w:color w:val="auto"/>
        </w:rPr>
        <w:t xml:space="preserve">Les SATT sont constituées sous la forme de sociétés </w:t>
      </w:r>
      <w:r w:rsidR="00E50B08" w:rsidRPr="00FD7D41">
        <w:rPr>
          <w:rFonts w:cs="Arial"/>
          <w:color w:val="auto"/>
        </w:rPr>
        <w:t>anonymes par a</w:t>
      </w:r>
      <w:r w:rsidRPr="00FD7D41">
        <w:rPr>
          <w:rFonts w:cs="Arial"/>
          <w:color w:val="auto"/>
        </w:rPr>
        <w:t>ction</w:t>
      </w:r>
      <w:r w:rsidR="00E50B08" w:rsidRPr="00FD7D41">
        <w:rPr>
          <w:rFonts w:cs="Arial"/>
          <w:color w:val="auto"/>
        </w:rPr>
        <w:t>s</w:t>
      </w:r>
      <w:r w:rsidRPr="00FD7D41">
        <w:rPr>
          <w:rFonts w:cs="Arial"/>
          <w:color w:val="auto"/>
        </w:rPr>
        <w:t xml:space="preserve"> simplifiée</w:t>
      </w:r>
      <w:r w:rsidR="00B67DFE" w:rsidRPr="00FD7D41">
        <w:rPr>
          <w:rFonts w:cs="Arial"/>
          <w:color w:val="auto"/>
        </w:rPr>
        <w:t>s</w:t>
      </w:r>
      <w:r w:rsidR="002D5D61" w:rsidRPr="00FD7D41">
        <w:rPr>
          <w:rFonts w:cs="Arial"/>
          <w:color w:val="auto"/>
        </w:rPr>
        <w:t> :</w:t>
      </w:r>
      <w:r w:rsidR="00643AD2" w:rsidRPr="00FD7D41">
        <w:rPr>
          <w:rFonts w:cs="Arial"/>
          <w:color w:val="auto"/>
        </w:rPr>
        <w:t xml:space="preserve"> </w:t>
      </w:r>
    </w:p>
    <w:p w:rsidR="0027475F" w:rsidRPr="00FD7D41" w:rsidRDefault="00691DD8" w:rsidP="000F7990">
      <w:pPr>
        <w:pStyle w:val="Paragraphedeliste"/>
        <w:numPr>
          <w:ilvl w:val="0"/>
          <w:numId w:val="8"/>
        </w:numPr>
        <w:spacing w:after="40" w:line="240" w:lineRule="auto"/>
        <w:ind w:left="1985" w:hanging="284"/>
        <w:jc w:val="both"/>
        <w:rPr>
          <w:rFonts w:cs="Arial"/>
          <w:color w:val="auto"/>
        </w:rPr>
      </w:pPr>
      <w:r w:rsidRPr="00FD7D41">
        <w:rPr>
          <w:rFonts w:cs="Arial"/>
          <w:color w:val="auto"/>
        </w:rPr>
        <w:t>33</w:t>
      </w:r>
      <w:r w:rsidR="00E04F51" w:rsidRPr="00FD7D41">
        <w:rPr>
          <w:rFonts w:cs="Arial"/>
          <w:color w:val="auto"/>
        </w:rPr>
        <w:t xml:space="preserve"> </w:t>
      </w:r>
      <w:r w:rsidRPr="00FD7D41">
        <w:rPr>
          <w:rFonts w:cs="Arial"/>
          <w:color w:val="auto"/>
        </w:rPr>
        <w:t xml:space="preserve">% du capital social et des droits de vote </w:t>
      </w:r>
      <w:r w:rsidR="00706203" w:rsidRPr="00FD7D41">
        <w:rPr>
          <w:rFonts w:cs="Arial"/>
          <w:color w:val="auto"/>
        </w:rPr>
        <w:t xml:space="preserve">sont détenus </w:t>
      </w:r>
      <w:r w:rsidR="00AC3DD9" w:rsidRPr="00FD7D41">
        <w:rPr>
          <w:rFonts w:cs="Arial"/>
          <w:color w:val="auto"/>
        </w:rPr>
        <w:t>par l’Etat</w:t>
      </w:r>
      <w:r w:rsidR="00423E95" w:rsidRPr="00FD7D41">
        <w:rPr>
          <w:rFonts w:cs="Arial"/>
          <w:color w:val="auto"/>
        </w:rPr>
        <w:t> ;</w:t>
      </w:r>
    </w:p>
    <w:p w:rsidR="00E806EB" w:rsidRDefault="00691DD8" w:rsidP="000F7990">
      <w:pPr>
        <w:pStyle w:val="Paragraphedeliste"/>
        <w:numPr>
          <w:ilvl w:val="0"/>
          <w:numId w:val="8"/>
        </w:numPr>
        <w:spacing w:after="40" w:line="240" w:lineRule="auto"/>
        <w:ind w:left="1985" w:hanging="284"/>
        <w:jc w:val="both"/>
        <w:rPr>
          <w:rFonts w:cs="Arial"/>
          <w:color w:val="auto"/>
        </w:rPr>
      </w:pPr>
      <w:r w:rsidRPr="00FD7D41">
        <w:rPr>
          <w:rFonts w:cs="Arial"/>
          <w:color w:val="auto"/>
        </w:rPr>
        <w:t xml:space="preserve">67 % du capital social et des droits de vote </w:t>
      </w:r>
      <w:r w:rsidR="00706203" w:rsidRPr="00FD7D41">
        <w:rPr>
          <w:rFonts w:cs="Arial"/>
          <w:color w:val="auto"/>
        </w:rPr>
        <w:t>sont détenus par des</w:t>
      </w:r>
      <w:r w:rsidRPr="00FD7D41">
        <w:rPr>
          <w:rFonts w:cs="Arial"/>
          <w:color w:val="auto"/>
        </w:rPr>
        <w:t xml:space="preserve"> actionnaires locaux : organismes ou établissements de recherche, soit directement soit par l’intermédiaire d’une structure porteuse</w:t>
      </w:r>
      <w:r w:rsidR="004668B6" w:rsidRPr="00FD7D41">
        <w:rPr>
          <w:rFonts w:cs="Arial"/>
          <w:color w:val="auto"/>
        </w:rPr>
        <w:t xml:space="preserve"> telle un ou plusieurs PRES</w:t>
      </w:r>
      <w:r w:rsidR="00D45890" w:rsidRPr="00FD7D41">
        <w:rPr>
          <w:rFonts w:cs="Arial"/>
          <w:color w:val="auto"/>
        </w:rPr>
        <w:t>.</w:t>
      </w:r>
      <w:r w:rsidR="00AC3DD9" w:rsidRPr="00FD7D41">
        <w:rPr>
          <w:rFonts w:cs="Arial"/>
          <w:color w:val="auto"/>
        </w:rPr>
        <w:t xml:space="preserve"> </w:t>
      </w:r>
    </w:p>
    <w:p w:rsidR="00ED28C4" w:rsidRPr="00FD7D41" w:rsidRDefault="00ED28C4" w:rsidP="000F7990">
      <w:pPr>
        <w:pStyle w:val="Paragraphedeliste"/>
        <w:numPr>
          <w:ilvl w:val="0"/>
          <w:numId w:val="8"/>
        </w:numPr>
        <w:spacing w:after="40" w:line="240" w:lineRule="auto"/>
        <w:ind w:left="1985" w:hanging="284"/>
        <w:jc w:val="both"/>
        <w:rPr>
          <w:rFonts w:cs="Arial"/>
          <w:color w:val="auto"/>
        </w:rPr>
      </w:pPr>
      <w:r>
        <w:rPr>
          <w:rFonts w:cs="Arial"/>
          <w:color w:val="auto"/>
        </w:rPr>
        <w:t>A titre indicatif, le capital social de la SATT pourra être d’environ 1M€.</w:t>
      </w:r>
    </w:p>
    <w:p w:rsidR="00691DD8" w:rsidRPr="00FD7D41" w:rsidRDefault="0027475F" w:rsidP="000F7990">
      <w:pPr>
        <w:autoSpaceDE w:val="0"/>
        <w:autoSpaceDN w:val="0"/>
        <w:adjustRightInd w:val="0"/>
        <w:spacing w:after="40" w:line="240" w:lineRule="auto"/>
        <w:ind w:left="1701"/>
        <w:jc w:val="both"/>
        <w:rPr>
          <w:rFonts w:cs="Arial"/>
          <w:color w:val="auto"/>
        </w:rPr>
      </w:pPr>
      <w:r w:rsidRPr="00FD7D41">
        <w:rPr>
          <w:rFonts w:cs="Arial"/>
          <w:color w:val="auto"/>
        </w:rPr>
        <w:t xml:space="preserve">Le Président </w:t>
      </w:r>
      <w:r w:rsidR="00AC3DD9" w:rsidRPr="00FD7D41">
        <w:rPr>
          <w:rFonts w:cs="Arial"/>
          <w:color w:val="auto"/>
        </w:rPr>
        <w:t>exerce aussi la fonction de directeur général.</w:t>
      </w:r>
    </w:p>
    <w:p w:rsidR="00887083" w:rsidRPr="00FD7D41" w:rsidRDefault="00B60D7B" w:rsidP="000F7990">
      <w:pPr>
        <w:autoSpaceDE w:val="0"/>
        <w:autoSpaceDN w:val="0"/>
        <w:adjustRightInd w:val="0"/>
        <w:spacing w:after="40" w:line="240" w:lineRule="auto"/>
        <w:ind w:left="1701"/>
        <w:jc w:val="both"/>
        <w:rPr>
          <w:rFonts w:cs="Arial"/>
          <w:color w:val="auto"/>
        </w:rPr>
      </w:pPr>
      <w:r w:rsidRPr="00FD7D41">
        <w:rPr>
          <w:rFonts w:cs="Arial"/>
          <w:color w:val="auto"/>
        </w:rPr>
        <w:t xml:space="preserve">L’Etat est représenté </w:t>
      </w:r>
      <w:r w:rsidR="00D5594B" w:rsidRPr="00FD7D41">
        <w:rPr>
          <w:rFonts w:cs="Arial"/>
          <w:color w:val="auto"/>
        </w:rPr>
        <w:t xml:space="preserve">au </w:t>
      </w:r>
      <w:r w:rsidR="00942007" w:rsidRPr="00FD7D41">
        <w:rPr>
          <w:rFonts w:cs="Arial"/>
          <w:color w:val="auto"/>
        </w:rPr>
        <w:t>CA</w:t>
      </w:r>
      <w:r w:rsidR="00D5594B" w:rsidRPr="00FD7D41">
        <w:rPr>
          <w:rFonts w:cs="Arial"/>
          <w:color w:val="auto"/>
        </w:rPr>
        <w:t xml:space="preserve"> </w:t>
      </w:r>
      <w:r w:rsidRPr="00FD7D41">
        <w:rPr>
          <w:rFonts w:cs="Arial"/>
          <w:color w:val="auto"/>
        </w:rPr>
        <w:t xml:space="preserve">par </w:t>
      </w:r>
      <w:r w:rsidR="00853389" w:rsidRPr="00FD7D41">
        <w:rPr>
          <w:rFonts w:cs="Arial"/>
          <w:color w:val="auto"/>
        </w:rPr>
        <w:t>4</w:t>
      </w:r>
      <w:r w:rsidR="00887083" w:rsidRPr="00FD7D41">
        <w:rPr>
          <w:rFonts w:cs="Arial"/>
          <w:color w:val="auto"/>
        </w:rPr>
        <w:t xml:space="preserve"> direct</w:t>
      </w:r>
      <w:r w:rsidR="00C8713B" w:rsidRPr="00FD7D41">
        <w:rPr>
          <w:rFonts w:cs="Arial"/>
          <w:color w:val="auto"/>
        </w:rPr>
        <w:t xml:space="preserve">eurs territoriaux </w:t>
      </w:r>
      <w:r w:rsidR="00887083" w:rsidRPr="00FD7D41">
        <w:rPr>
          <w:rFonts w:cs="Arial"/>
          <w:color w:val="auto"/>
        </w:rPr>
        <w:t>(DRRT, OSEO, CDC, DIRECCTE)</w:t>
      </w:r>
      <w:r w:rsidR="00AE441C" w:rsidRPr="00FD7D41">
        <w:rPr>
          <w:rFonts w:cs="Arial"/>
          <w:color w:val="auto"/>
        </w:rPr>
        <w:t>.</w:t>
      </w:r>
      <w:r w:rsidR="00887083" w:rsidRPr="00FD7D41">
        <w:rPr>
          <w:rFonts w:cs="Arial"/>
          <w:color w:val="auto"/>
        </w:rPr>
        <w:t xml:space="preserve"> </w:t>
      </w:r>
    </w:p>
    <w:p w:rsidR="00887083" w:rsidRPr="0074047B" w:rsidRDefault="00887083" w:rsidP="00044E87">
      <w:pPr>
        <w:spacing w:before="80" w:after="40" w:line="240" w:lineRule="auto"/>
        <w:ind w:left="0"/>
        <w:rPr>
          <w:rFonts w:cs="Arial"/>
          <w:b/>
        </w:rPr>
      </w:pPr>
      <w:r w:rsidRPr="0074047B">
        <w:rPr>
          <w:rFonts w:cs="Arial"/>
          <w:b/>
        </w:rPr>
        <w:t>Transfert de</w:t>
      </w:r>
      <w:r w:rsidR="00882375">
        <w:rPr>
          <w:rFonts w:cs="Arial"/>
          <w:b/>
        </w:rPr>
        <w:t>s activités de valorisation des</w:t>
      </w:r>
      <w:r w:rsidRPr="0074047B">
        <w:rPr>
          <w:rFonts w:cs="Arial"/>
          <w:b/>
        </w:rPr>
        <w:t xml:space="preserve"> actionnaires</w:t>
      </w:r>
    </w:p>
    <w:p w:rsidR="00887083" w:rsidRPr="00FD7D41" w:rsidRDefault="00887083" w:rsidP="000F7990">
      <w:pPr>
        <w:autoSpaceDE w:val="0"/>
        <w:autoSpaceDN w:val="0"/>
        <w:adjustRightInd w:val="0"/>
        <w:spacing w:after="40" w:line="240" w:lineRule="auto"/>
        <w:ind w:left="1701"/>
        <w:jc w:val="both"/>
        <w:rPr>
          <w:rFonts w:cs="Arial"/>
          <w:color w:val="auto"/>
        </w:rPr>
      </w:pPr>
      <w:r w:rsidRPr="00FD7D41">
        <w:rPr>
          <w:rFonts w:cs="Arial"/>
          <w:color w:val="auto"/>
        </w:rPr>
        <w:t xml:space="preserve">Les activités de valorisation des actionnaires de la SATT relatives </w:t>
      </w:r>
      <w:r w:rsidR="00AE31B2" w:rsidRPr="00FD7D41">
        <w:rPr>
          <w:rFonts w:cs="Arial"/>
          <w:color w:val="auto"/>
        </w:rPr>
        <w:t>aux</w:t>
      </w:r>
      <w:r w:rsidRPr="00FD7D41">
        <w:rPr>
          <w:rFonts w:cs="Arial"/>
          <w:color w:val="auto"/>
        </w:rPr>
        <w:t xml:space="preserve"> unités de recherche</w:t>
      </w:r>
      <w:r w:rsidR="008B3C66" w:rsidRPr="00FD7D41">
        <w:rPr>
          <w:rFonts w:cs="Arial"/>
          <w:color w:val="auto"/>
        </w:rPr>
        <w:t xml:space="preserve"> </w:t>
      </w:r>
      <w:r w:rsidR="00AE31B2" w:rsidRPr="00FD7D41">
        <w:rPr>
          <w:rFonts w:cs="Arial"/>
          <w:color w:val="auto"/>
        </w:rPr>
        <w:t xml:space="preserve">auprès </w:t>
      </w:r>
      <w:r w:rsidR="007934FE" w:rsidRPr="00FD7D41">
        <w:rPr>
          <w:rFonts w:cs="Arial"/>
          <w:color w:val="auto"/>
        </w:rPr>
        <w:t>desquelles</w:t>
      </w:r>
      <w:r w:rsidR="00AE31B2" w:rsidRPr="00FD7D41">
        <w:rPr>
          <w:rFonts w:cs="Arial"/>
          <w:color w:val="auto"/>
        </w:rPr>
        <w:t xml:space="preserve"> la SATT interviendra </w:t>
      </w:r>
      <w:r w:rsidRPr="00FD7D41">
        <w:rPr>
          <w:rFonts w:cs="Arial"/>
          <w:color w:val="auto"/>
        </w:rPr>
        <w:t>sont tr</w:t>
      </w:r>
      <w:r w:rsidR="00E04F51" w:rsidRPr="00FD7D41">
        <w:rPr>
          <w:rFonts w:cs="Arial"/>
          <w:color w:val="auto"/>
        </w:rPr>
        <w:t>ansférées dans leur intégralité</w:t>
      </w:r>
      <w:r w:rsidR="004A3B1A" w:rsidRPr="00FD7D41">
        <w:rPr>
          <w:rFonts w:cs="Arial"/>
          <w:color w:val="auto"/>
        </w:rPr>
        <w:t xml:space="preserve"> dans un délai de trois ans.</w:t>
      </w:r>
    </w:p>
    <w:p w:rsidR="007B2620" w:rsidRPr="0099616E" w:rsidRDefault="004A3B1A" w:rsidP="00044E87">
      <w:pPr>
        <w:spacing w:before="80" w:after="40" w:line="240" w:lineRule="auto"/>
        <w:ind w:left="0"/>
        <w:rPr>
          <w:rFonts w:cs="Arial"/>
          <w:b/>
        </w:rPr>
      </w:pPr>
      <w:r>
        <w:rPr>
          <w:rFonts w:cs="Arial"/>
          <w:b/>
        </w:rPr>
        <w:t>Attribution du fonds</w:t>
      </w:r>
    </w:p>
    <w:p w:rsidR="007B2620" w:rsidRPr="00FD7D41" w:rsidRDefault="00E50B08" w:rsidP="000F7990">
      <w:pPr>
        <w:spacing w:after="40" w:line="240" w:lineRule="auto"/>
        <w:ind w:left="1701"/>
        <w:jc w:val="both"/>
        <w:rPr>
          <w:rFonts w:cs="Arial"/>
          <w:color w:val="auto"/>
        </w:rPr>
      </w:pPr>
      <w:r w:rsidRPr="00FD7D41">
        <w:rPr>
          <w:rFonts w:cs="Arial"/>
          <w:color w:val="auto"/>
        </w:rPr>
        <w:t>Le fonds sera abondé sous trois formes</w:t>
      </w:r>
      <w:r w:rsidR="00683301" w:rsidRPr="00FD7D41">
        <w:rPr>
          <w:rFonts w:cs="Arial"/>
          <w:color w:val="auto"/>
        </w:rPr>
        <w:t> :</w:t>
      </w:r>
    </w:p>
    <w:p w:rsidR="0058263A" w:rsidRPr="00FD7D41" w:rsidRDefault="007B2620" w:rsidP="005060F4">
      <w:pPr>
        <w:pStyle w:val="Paragraphedeliste"/>
        <w:numPr>
          <w:ilvl w:val="0"/>
          <w:numId w:val="10"/>
        </w:numPr>
        <w:spacing w:afterLines="40" w:line="240" w:lineRule="auto"/>
        <w:ind w:left="1985" w:hanging="284"/>
        <w:jc w:val="both"/>
        <w:rPr>
          <w:rFonts w:cs="Arial"/>
          <w:color w:val="auto"/>
        </w:rPr>
      </w:pPr>
      <w:r w:rsidRPr="00FD7D41">
        <w:rPr>
          <w:rFonts w:cs="Arial"/>
          <w:color w:val="auto"/>
        </w:rPr>
        <w:t xml:space="preserve">une dotation consommable </w:t>
      </w:r>
      <w:r w:rsidR="00207406" w:rsidRPr="00FD7D41">
        <w:rPr>
          <w:rFonts w:cs="Arial"/>
          <w:color w:val="auto"/>
        </w:rPr>
        <w:t xml:space="preserve">destinée à constituer le capital social de la SATT  </w:t>
      </w:r>
      <w:r w:rsidR="00D5594B" w:rsidRPr="00FD7D41">
        <w:rPr>
          <w:rFonts w:cs="Arial"/>
          <w:color w:val="auto"/>
        </w:rPr>
        <w:t>apportée</w:t>
      </w:r>
      <w:r w:rsidR="00B11CB3" w:rsidRPr="00FD7D41">
        <w:rPr>
          <w:rFonts w:cs="Arial"/>
          <w:color w:val="auto"/>
        </w:rPr>
        <w:t xml:space="preserve"> </w:t>
      </w:r>
      <w:r w:rsidR="00E50B08" w:rsidRPr="00FD7D41">
        <w:rPr>
          <w:rFonts w:cs="Arial"/>
          <w:color w:val="auto"/>
        </w:rPr>
        <w:t>aux établissements via leur structure porteuse</w:t>
      </w:r>
      <w:r w:rsidR="00FB5A2F">
        <w:rPr>
          <w:rFonts w:cs="Arial"/>
          <w:color w:val="auto"/>
        </w:rPr>
        <w:t xml:space="preserve"> </w:t>
      </w:r>
      <w:r w:rsidR="00312E4B" w:rsidRPr="00FD7D41">
        <w:rPr>
          <w:rFonts w:cs="Arial"/>
          <w:color w:val="auto"/>
        </w:rPr>
        <w:t>;</w:t>
      </w:r>
      <w:r w:rsidR="004668B6" w:rsidRPr="00FD7D41">
        <w:rPr>
          <w:rFonts w:cs="Arial"/>
          <w:color w:val="auto"/>
        </w:rPr>
        <w:t xml:space="preserve"> </w:t>
      </w:r>
    </w:p>
    <w:p w:rsidR="0058263A" w:rsidRPr="00FD7D41" w:rsidRDefault="007B2620" w:rsidP="005060F4">
      <w:pPr>
        <w:pStyle w:val="Paragraphedeliste"/>
        <w:numPr>
          <w:ilvl w:val="0"/>
          <w:numId w:val="10"/>
        </w:numPr>
        <w:spacing w:afterLines="40" w:line="240" w:lineRule="auto"/>
        <w:ind w:left="1985" w:hanging="284"/>
        <w:jc w:val="both"/>
        <w:rPr>
          <w:rFonts w:cs="Arial"/>
          <w:color w:val="auto"/>
        </w:rPr>
      </w:pPr>
      <w:r w:rsidRPr="00FD7D41">
        <w:rPr>
          <w:rFonts w:cs="Arial"/>
          <w:color w:val="auto"/>
        </w:rPr>
        <w:t>une dotation consommable</w:t>
      </w:r>
      <w:r w:rsidR="00097429" w:rsidRPr="00FD7D41">
        <w:rPr>
          <w:rFonts w:cs="Arial"/>
          <w:color w:val="auto"/>
        </w:rPr>
        <w:t xml:space="preserve"> pour financer la maturation et la propriété intellectuelle</w:t>
      </w:r>
      <w:r w:rsidR="00207406" w:rsidRPr="00FD7D41">
        <w:rPr>
          <w:rFonts w:cs="Arial"/>
          <w:color w:val="auto"/>
        </w:rPr>
        <w:t xml:space="preserve">, </w:t>
      </w:r>
      <w:r w:rsidR="00C154C8" w:rsidRPr="00FD7D41">
        <w:rPr>
          <w:rFonts w:cs="Arial"/>
          <w:color w:val="auto"/>
        </w:rPr>
        <w:t xml:space="preserve">versée </w:t>
      </w:r>
      <w:r w:rsidR="00987DF5" w:rsidRPr="00FD7D41">
        <w:rPr>
          <w:rFonts w:cs="Arial"/>
          <w:color w:val="auto"/>
        </w:rPr>
        <w:t xml:space="preserve">tous les 3 ans </w:t>
      </w:r>
      <w:r w:rsidR="007934FE" w:rsidRPr="00FD7D41">
        <w:rPr>
          <w:rFonts w:cs="Arial"/>
          <w:color w:val="auto"/>
        </w:rPr>
        <w:t>sous condition d’évaluation</w:t>
      </w:r>
      <w:r w:rsidR="00097429" w:rsidRPr="00FD7D41">
        <w:rPr>
          <w:rFonts w:cs="Arial"/>
          <w:color w:val="auto"/>
        </w:rPr>
        <w:t xml:space="preserve">, </w:t>
      </w:r>
      <w:r w:rsidR="00C154C8" w:rsidRPr="00FD7D41">
        <w:rPr>
          <w:rFonts w:cs="Arial"/>
          <w:color w:val="auto"/>
        </w:rPr>
        <w:t>sous forme de quasi-fonds propres</w:t>
      </w:r>
      <w:r w:rsidR="00097429" w:rsidRPr="00FD7D41">
        <w:rPr>
          <w:rFonts w:cs="Arial"/>
          <w:color w:val="auto"/>
        </w:rPr>
        <w:t> ;</w:t>
      </w:r>
    </w:p>
    <w:p w:rsidR="00D74946" w:rsidRPr="00FD7D41" w:rsidRDefault="007B2620" w:rsidP="005060F4">
      <w:pPr>
        <w:pStyle w:val="Paragraphedeliste"/>
        <w:numPr>
          <w:ilvl w:val="0"/>
          <w:numId w:val="10"/>
        </w:numPr>
        <w:spacing w:afterLines="40" w:line="240" w:lineRule="auto"/>
        <w:ind w:left="1985" w:hanging="284"/>
        <w:jc w:val="both"/>
        <w:rPr>
          <w:rFonts w:cs="Arial"/>
          <w:color w:val="auto"/>
        </w:rPr>
      </w:pPr>
      <w:r w:rsidRPr="00FD7D41">
        <w:rPr>
          <w:rFonts w:cs="Arial"/>
          <w:color w:val="auto"/>
        </w:rPr>
        <w:t xml:space="preserve">une subvention aux établissements </w:t>
      </w:r>
      <w:r w:rsidR="004668B6" w:rsidRPr="00FD7D41">
        <w:rPr>
          <w:rFonts w:cs="Arial"/>
          <w:color w:val="auto"/>
        </w:rPr>
        <w:t>pour l’achat de prestations auprès de la SATT</w:t>
      </w:r>
      <w:r w:rsidRPr="00FD7D41">
        <w:rPr>
          <w:rFonts w:cs="Arial"/>
          <w:color w:val="auto"/>
        </w:rPr>
        <w:t xml:space="preserve">. </w:t>
      </w:r>
      <w:r w:rsidR="000025EF" w:rsidRPr="00FD7D41">
        <w:rPr>
          <w:rFonts w:cs="Arial"/>
          <w:color w:val="auto"/>
        </w:rPr>
        <w:t>Versement annuel</w:t>
      </w:r>
      <w:r w:rsidR="004668B6" w:rsidRPr="00FD7D41">
        <w:rPr>
          <w:rFonts w:cs="Arial"/>
          <w:color w:val="auto"/>
        </w:rPr>
        <w:t xml:space="preserve"> pendant </w:t>
      </w:r>
      <w:r w:rsidR="000025EF" w:rsidRPr="00FD7D41">
        <w:rPr>
          <w:rFonts w:cs="Arial"/>
          <w:color w:val="auto"/>
        </w:rPr>
        <w:t xml:space="preserve">5 ans, montant plafonné à </w:t>
      </w:r>
      <w:r w:rsidRPr="00FD7D41">
        <w:rPr>
          <w:rFonts w:cs="Arial"/>
          <w:color w:val="auto"/>
        </w:rPr>
        <w:t>5 % des financements</w:t>
      </w:r>
      <w:r w:rsidR="004668B6" w:rsidRPr="00FD7D41">
        <w:rPr>
          <w:rFonts w:cs="Arial"/>
          <w:color w:val="auto"/>
        </w:rPr>
        <w:t xml:space="preserve"> </w:t>
      </w:r>
      <w:r w:rsidR="00C154C8" w:rsidRPr="00FD7D41">
        <w:rPr>
          <w:rFonts w:cs="Arial"/>
          <w:color w:val="auto"/>
        </w:rPr>
        <w:t>de l’AAP.</w:t>
      </w:r>
    </w:p>
    <w:p w:rsidR="00D5594B" w:rsidRDefault="007934FE" w:rsidP="00044E87">
      <w:pPr>
        <w:spacing w:before="80" w:after="40" w:line="240" w:lineRule="auto"/>
        <w:ind w:left="0"/>
        <w:rPr>
          <w:rFonts w:cs="Arial"/>
          <w:b/>
        </w:rPr>
      </w:pPr>
      <w:r>
        <w:rPr>
          <w:rFonts w:cs="Arial"/>
          <w:b/>
        </w:rPr>
        <w:t>P</w:t>
      </w:r>
      <w:r w:rsidR="00D5594B" w:rsidRPr="00D5594B">
        <w:rPr>
          <w:rFonts w:cs="Arial"/>
          <w:b/>
        </w:rPr>
        <w:t>ériode probatoire</w:t>
      </w:r>
      <w:r w:rsidR="0049489C">
        <w:rPr>
          <w:rFonts w:cs="Arial"/>
          <w:b/>
        </w:rPr>
        <w:t>,</w:t>
      </w:r>
      <w:r w:rsidRPr="007934FE">
        <w:rPr>
          <w:rFonts w:cs="Arial"/>
          <w:b/>
        </w:rPr>
        <w:t xml:space="preserve"> </w:t>
      </w:r>
      <w:r w:rsidR="0049489C">
        <w:rPr>
          <w:rFonts w:cs="Arial"/>
          <w:b/>
        </w:rPr>
        <w:t>évaluation</w:t>
      </w:r>
    </w:p>
    <w:p w:rsidR="00AE31B2" w:rsidRPr="00FD7D41" w:rsidRDefault="0049489C" w:rsidP="000F7990">
      <w:pPr>
        <w:spacing w:after="40" w:line="240" w:lineRule="auto"/>
        <w:ind w:left="1701"/>
        <w:jc w:val="both"/>
        <w:rPr>
          <w:rFonts w:cs="Arial"/>
          <w:color w:val="auto"/>
        </w:rPr>
      </w:pPr>
      <w:r w:rsidRPr="00FD7D41">
        <w:rPr>
          <w:rFonts w:cs="Arial"/>
          <w:color w:val="auto"/>
        </w:rPr>
        <w:t xml:space="preserve">Les SATT font l’objet d’une </w:t>
      </w:r>
      <w:r w:rsidR="007934FE" w:rsidRPr="00FD7D41">
        <w:rPr>
          <w:rFonts w:cs="Arial"/>
          <w:color w:val="auto"/>
        </w:rPr>
        <w:t>période</w:t>
      </w:r>
      <w:r w:rsidR="00E04F51" w:rsidRPr="00FD7D41">
        <w:rPr>
          <w:rFonts w:cs="Arial"/>
          <w:color w:val="auto"/>
        </w:rPr>
        <w:t xml:space="preserve"> probatoire</w:t>
      </w:r>
      <w:r w:rsidR="007934FE" w:rsidRPr="00FD7D41">
        <w:rPr>
          <w:rFonts w:cs="Arial"/>
          <w:color w:val="auto"/>
        </w:rPr>
        <w:t xml:space="preserve"> d’une durée initiale de trois ans, </w:t>
      </w:r>
      <w:r w:rsidRPr="00FD7D41">
        <w:rPr>
          <w:rFonts w:cs="Arial"/>
          <w:color w:val="auto"/>
        </w:rPr>
        <w:t xml:space="preserve">pouvant être </w:t>
      </w:r>
      <w:r w:rsidR="007934FE" w:rsidRPr="00FD7D41">
        <w:rPr>
          <w:rFonts w:cs="Arial"/>
          <w:color w:val="auto"/>
        </w:rPr>
        <w:t xml:space="preserve">reconduite pour une ou deux périodes. </w:t>
      </w:r>
      <w:r w:rsidRPr="00FD7D41">
        <w:rPr>
          <w:rFonts w:cs="Arial"/>
          <w:color w:val="auto"/>
        </w:rPr>
        <w:t>Une évaluation approfondie conditionnera la</w:t>
      </w:r>
      <w:r w:rsidR="007934FE" w:rsidRPr="00FD7D41">
        <w:rPr>
          <w:rFonts w:cs="Arial"/>
          <w:color w:val="auto"/>
        </w:rPr>
        <w:t xml:space="preserve"> poursuite</w:t>
      </w:r>
      <w:r w:rsidRPr="00FD7D41">
        <w:rPr>
          <w:rFonts w:cs="Arial"/>
          <w:color w:val="auto"/>
        </w:rPr>
        <w:t xml:space="preserve"> </w:t>
      </w:r>
      <w:r w:rsidR="007934FE" w:rsidRPr="00FD7D41">
        <w:rPr>
          <w:rFonts w:cs="Arial"/>
          <w:color w:val="auto"/>
        </w:rPr>
        <w:t xml:space="preserve">du projet et </w:t>
      </w:r>
      <w:r w:rsidR="00E04F51" w:rsidRPr="00FD7D41">
        <w:rPr>
          <w:rFonts w:cs="Arial"/>
          <w:color w:val="auto"/>
        </w:rPr>
        <w:t xml:space="preserve">pourra conduire à une </w:t>
      </w:r>
      <w:r w:rsidR="007934FE" w:rsidRPr="00FD7D41">
        <w:rPr>
          <w:rFonts w:cs="Arial"/>
          <w:color w:val="auto"/>
        </w:rPr>
        <w:t xml:space="preserve">révision du montant </w:t>
      </w:r>
      <w:r w:rsidR="00E04F51" w:rsidRPr="00FD7D41">
        <w:rPr>
          <w:rFonts w:cs="Arial"/>
          <w:color w:val="auto"/>
        </w:rPr>
        <w:t>des dotations.</w:t>
      </w:r>
    </w:p>
    <w:p w:rsidR="00D74946" w:rsidRPr="0099616E" w:rsidRDefault="00D74946" w:rsidP="00044E87">
      <w:pPr>
        <w:spacing w:before="80" w:after="40" w:line="240" w:lineRule="auto"/>
        <w:ind w:left="0"/>
        <w:rPr>
          <w:rFonts w:cs="Arial"/>
          <w:b/>
        </w:rPr>
      </w:pPr>
      <w:r w:rsidRPr="0099616E">
        <w:rPr>
          <w:rFonts w:cs="Arial"/>
          <w:b/>
        </w:rPr>
        <w:t xml:space="preserve">Principaux </w:t>
      </w:r>
      <w:r w:rsidR="00E04F51">
        <w:rPr>
          <w:rFonts w:cs="Arial"/>
          <w:b/>
        </w:rPr>
        <w:t>c</w:t>
      </w:r>
      <w:r w:rsidRPr="0099616E">
        <w:rPr>
          <w:rFonts w:cs="Arial"/>
          <w:b/>
        </w:rPr>
        <w:t>ritères de sélection</w:t>
      </w:r>
      <w:r w:rsidR="00AE31B2">
        <w:rPr>
          <w:rFonts w:cs="Arial"/>
          <w:b/>
        </w:rPr>
        <w:t xml:space="preserve"> des dossiers</w:t>
      </w:r>
    </w:p>
    <w:p w:rsidR="0058263A" w:rsidRPr="00FD7D41" w:rsidRDefault="00D74946" w:rsidP="005060F4">
      <w:pPr>
        <w:pStyle w:val="Paragraphedeliste"/>
        <w:numPr>
          <w:ilvl w:val="0"/>
          <w:numId w:val="10"/>
        </w:numPr>
        <w:spacing w:afterLines="40" w:line="240" w:lineRule="auto"/>
        <w:ind w:left="1985" w:hanging="284"/>
        <w:jc w:val="both"/>
        <w:rPr>
          <w:rFonts w:cs="Arial"/>
          <w:color w:val="auto"/>
        </w:rPr>
      </w:pPr>
      <w:r w:rsidRPr="00FD7D41">
        <w:rPr>
          <w:rFonts w:cs="Arial"/>
          <w:color w:val="auto"/>
        </w:rPr>
        <w:t>Potentiel de valorisation sur le territoire de la SATT</w:t>
      </w:r>
      <w:r w:rsidR="00943AF9" w:rsidRPr="00FD7D41">
        <w:rPr>
          <w:rFonts w:cs="Arial"/>
          <w:color w:val="auto"/>
        </w:rPr>
        <w:t> ;</w:t>
      </w:r>
    </w:p>
    <w:p w:rsidR="0058263A" w:rsidRPr="00FD7D41" w:rsidRDefault="00FB5A2F" w:rsidP="005060F4">
      <w:pPr>
        <w:pStyle w:val="Paragraphedeliste"/>
        <w:numPr>
          <w:ilvl w:val="0"/>
          <w:numId w:val="10"/>
        </w:numPr>
        <w:spacing w:afterLines="40" w:line="240" w:lineRule="auto"/>
        <w:ind w:left="1985" w:hanging="284"/>
        <w:jc w:val="both"/>
        <w:rPr>
          <w:rFonts w:cs="Arial"/>
          <w:color w:val="auto"/>
        </w:rPr>
      </w:pPr>
      <w:r>
        <w:rPr>
          <w:rFonts w:cs="Arial"/>
          <w:color w:val="auto"/>
        </w:rPr>
        <w:t>s</w:t>
      </w:r>
      <w:r w:rsidR="00D74946" w:rsidRPr="00FD7D41">
        <w:rPr>
          <w:rFonts w:cs="Arial"/>
          <w:color w:val="auto"/>
        </w:rPr>
        <w:t>tratégie de valorisation</w:t>
      </w:r>
      <w:r w:rsidR="002B1C1A" w:rsidRPr="00FD7D41">
        <w:rPr>
          <w:rFonts w:cs="Arial"/>
          <w:color w:val="auto"/>
        </w:rPr>
        <w:t xml:space="preserve"> et qualité du plan d'affaires</w:t>
      </w:r>
      <w:r w:rsidR="00943AF9" w:rsidRPr="00FD7D41">
        <w:rPr>
          <w:rFonts w:cs="Arial"/>
          <w:color w:val="auto"/>
        </w:rPr>
        <w:t xml:space="preserve"> ;</w:t>
      </w:r>
    </w:p>
    <w:p w:rsidR="0058263A" w:rsidRPr="00FD7D41" w:rsidRDefault="00FB5A2F" w:rsidP="005060F4">
      <w:pPr>
        <w:pStyle w:val="Paragraphedeliste"/>
        <w:numPr>
          <w:ilvl w:val="0"/>
          <w:numId w:val="10"/>
        </w:numPr>
        <w:spacing w:afterLines="40" w:line="240" w:lineRule="auto"/>
        <w:ind w:left="1985" w:hanging="284"/>
        <w:jc w:val="both"/>
        <w:rPr>
          <w:rFonts w:cs="Arial"/>
          <w:color w:val="auto"/>
        </w:rPr>
      </w:pPr>
      <w:r>
        <w:rPr>
          <w:rFonts w:cs="Arial"/>
          <w:color w:val="auto"/>
        </w:rPr>
        <w:t>i</w:t>
      </w:r>
      <w:r w:rsidR="00D74946" w:rsidRPr="00FD7D41">
        <w:rPr>
          <w:rFonts w:cs="Arial"/>
          <w:color w:val="auto"/>
        </w:rPr>
        <w:t>ntégration des activités de valorisation des ac</w:t>
      </w:r>
      <w:r w:rsidR="0058263A" w:rsidRPr="00FD7D41">
        <w:rPr>
          <w:rFonts w:cs="Arial"/>
          <w:color w:val="auto"/>
        </w:rPr>
        <w:t>tionnaires de la SATT</w:t>
      </w:r>
      <w:r w:rsidR="00943AF9" w:rsidRPr="00FD7D41">
        <w:rPr>
          <w:rFonts w:cs="Arial"/>
          <w:color w:val="auto"/>
        </w:rPr>
        <w:t> ;</w:t>
      </w:r>
    </w:p>
    <w:p w:rsidR="0058263A" w:rsidRPr="00FD7D41" w:rsidRDefault="00FB5A2F" w:rsidP="005060F4">
      <w:pPr>
        <w:pStyle w:val="Paragraphedeliste"/>
        <w:numPr>
          <w:ilvl w:val="0"/>
          <w:numId w:val="10"/>
        </w:numPr>
        <w:spacing w:afterLines="40" w:line="240" w:lineRule="auto"/>
        <w:ind w:left="1985" w:hanging="284"/>
        <w:jc w:val="both"/>
        <w:rPr>
          <w:rFonts w:cs="Arial"/>
          <w:color w:val="auto"/>
        </w:rPr>
      </w:pPr>
      <w:r>
        <w:rPr>
          <w:rFonts w:cs="Arial"/>
          <w:color w:val="auto"/>
        </w:rPr>
        <w:t>q</w:t>
      </w:r>
      <w:r w:rsidR="00D74946" w:rsidRPr="00FD7D41">
        <w:rPr>
          <w:rFonts w:cs="Arial"/>
          <w:color w:val="auto"/>
        </w:rPr>
        <w:t xml:space="preserve">ualité des processus de sélection et de </w:t>
      </w:r>
      <w:r w:rsidR="0058263A" w:rsidRPr="00FD7D41">
        <w:rPr>
          <w:rFonts w:cs="Arial"/>
          <w:color w:val="auto"/>
        </w:rPr>
        <w:t>suivi des projets de maturation</w:t>
      </w:r>
      <w:r w:rsidR="00943AF9" w:rsidRPr="00FD7D41">
        <w:rPr>
          <w:rFonts w:cs="Arial"/>
          <w:color w:val="auto"/>
        </w:rPr>
        <w:t> ;</w:t>
      </w:r>
    </w:p>
    <w:p w:rsidR="00F470BC" w:rsidRPr="00FD7D41" w:rsidRDefault="00FB5A2F" w:rsidP="005060F4">
      <w:pPr>
        <w:pStyle w:val="Paragraphedeliste"/>
        <w:numPr>
          <w:ilvl w:val="0"/>
          <w:numId w:val="10"/>
        </w:numPr>
        <w:spacing w:afterLines="40" w:line="240" w:lineRule="auto"/>
        <w:ind w:left="1985" w:hanging="284"/>
        <w:jc w:val="both"/>
        <w:rPr>
          <w:rFonts w:cs="Arial"/>
          <w:color w:val="auto"/>
        </w:rPr>
      </w:pPr>
      <w:r>
        <w:rPr>
          <w:rFonts w:cs="Arial"/>
          <w:color w:val="auto"/>
        </w:rPr>
        <w:t>q</w:t>
      </w:r>
      <w:r w:rsidR="00D74946" w:rsidRPr="00FD7D41">
        <w:rPr>
          <w:rFonts w:cs="Arial"/>
          <w:color w:val="auto"/>
        </w:rPr>
        <w:t>ualité des ressources</w:t>
      </w:r>
      <w:r w:rsidR="00E04F51" w:rsidRPr="00FD7D41">
        <w:rPr>
          <w:rFonts w:cs="Arial"/>
          <w:color w:val="auto"/>
        </w:rPr>
        <w:t xml:space="preserve">, </w:t>
      </w:r>
      <w:r w:rsidR="00D74946" w:rsidRPr="00FD7D41">
        <w:rPr>
          <w:rFonts w:cs="Arial"/>
          <w:color w:val="auto"/>
        </w:rPr>
        <w:t>de la gouvernance</w:t>
      </w:r>
      <w:r w:rsidR="00E04F51" w:rsidRPr="00FD7D41">
        <w:rPr>
          <w:rFonts w:cs="Arial"/>
          <w:color w:val="auto"/>
        </w:rPr>
        <w:t xml:space="preserve">, </w:t>
      </w:r>
      <w:r w:rsidR="002B1C1A" w:rsidRPr="00FD7D41">
        <w:rPr>
          <w:rFonts w:cs="Arial"/>
          <w:color w:val="auto"/>
        </w:rPr>
        <w:t>de l’organisation financière</w:t>
      </w:r>
      <w:r w:rsidR="00943AF9" w:rsidRPr="00FD7D41">
        <w:rPr>
          <w:rFonts w:cs="Arial"/>
          <w:color w:val="auto"/>
        </w:rPr>
        <w:t>.</w:t>
      </w:r>
    </w:p>
    <w:p w:rsidR="00AE31B2" w:rsidRDefault="00AE31B2" w:rsidP="00044E87">
      <w:pPr>
        <w:spacing w:before="80" w:after="40" w:line="240" w:lineRule="auto"/>
        <w:ind w:left="0"/>
        <w:rPr>
          <w:rFonts w:cs="Arial"/>
          <w:b/>
        </w:rPr>
      </w:pPr>
      <w:r>
        <w:rPr>
          <w:rFonts w:cs="Arial"/>
          <w:b/>
        </w:rPr>
        <w:t xml:space="preserve">Articulation avec les autres projets </w:t>
      </w:r>
      <w:r w:rsidR="002A11FA">
        <w:rPr>
          <w:rFonts w:cs="Arial"/>
          <w:b/>
        </w:rPr>
        <w:t>Investissements d’Avenir</w:t>
      </w:r>
    </w:p>
    <w:p w:rsidR="00AE31B2" w:rsidRPr="00FD7D41" w:rsidRDefault="00AE31B2" w:rsidP="000F7990">
      <w:pPr>
        <w:autoSpaceDE w:val="0"/>
        <w:autoSpaceDN w:val="0"/>
        <w:adjustRightInd w:val="0"/>
        <w:spacing w:after="40" w:line="240" w:lineRule="auto"/>
        <w:ind w:left="1701"/>
        <w:jc w:val="both"/>
        <w:rPr>
          <w:rFonts w:cs="Arial"/>
          <w:color w:val="auto"/>
        </w:rPr>
      </w:pPr>
      <w:r w:rsidRPr="00FD7D41">
        <w:rPr>
          <w:rFonts w:cs="Arial"/>
          <w:color w:val="auto"/>
        </w:rPr>
        <w:t xml:space="preserve">Les SATT sont des outils qui doivent </w:t>
      </w:r>
      <w:r w:rsidR="0049489C" w:rsidRPr="00FD7D41">
        <w:rPr>
          <w:rFonts w:cs="Arial"/>
          <w:color w:val="auto"/>
        </w:rPr>
        <w:t>bénéficier à</w:t>
      </w:r>
      <w:r w:rsidRPr="00FD7D41">
        <w:rPr>
          <w:rFonts w:cs="Arial"/>
          <w:color w:val="auto"/>
        </w:rPr>
        <w:t xml:space="preserve"> </w:t>
      </w:r>
      <w:r w:rsidR="00BB4770" w:rsidRPr="00FD7D41">
        <w:rPr>
          <w:rFonts w:cs="Arial"/>
          <w:color w:val="auto"/>
        </w:rPr>
        <w:t xml:space="preserve">la valorisation académique </w:t>
      </w:r>
      <w:r w:rsidR="00E806EB" w:rsidRPr="00FD7D41">
        <w:rPr>
          <w:rFonts w:cs="Arial"/>
          <w:color w:val="auto"/>
        </w:rPr>
        <w:t>de</w:t>
      </w:r>
      <w:r w:rsidR="00BB4770" w:rsidRPr="00FD7D41">
        <w:rPr>
          <w:rFonts w:cs="Arial"/>
          <w:color w:val="auto"/>
        </w:rPr>
        <w:t xml:space="preserve"> </w:t>
      </w:r>
      <w:r w:rsidRPr="00FD7D41">
        <w:rPr>
          <w:rFonts w:cs="Arial"/>
          <w:color w:val="auto"/>
        </w:rPr>
        <w:t xml:space="preserve">l’ensemble des projets </w:t>
      </w:r>
      <w:r w:rsidR="002A11FA">
        <w:rPr>
          <w:rFonts w:cs="Arial"/>
          <w:color w:val="auto"/>
        </w:rPr>
        <w:t>des Investissements d’Avenir</w:t>
      </w:r>
      <w:r w:rsidRPr="00FD7D41">
        <w:rPr>
          <w:rFonts w:cs="Arial"/>
          <w:color w:val="auto"/>
        </w:rPr>
        <w:t xml:space="preserve">, en particulier </w:t>
      </w:r>
      <w:r w:rsidR="00BB4770" w:rsidRPr="00FD7D41">
        <w:rPr>
          <w:rFonts w:cs="Arial"/>
          <w:color w:val="auto"/>
        </w:rPr>
        <w:t>aux</w:t>
      </w:r>
      <w:r w:rsidRPr="00FD7D41">
        <w:rPr>
          <w:rFonts w:cs="Arial"/>
          <w:color w:val="auto"/>
        </w:rPr>
        <w:t xml:space="preserve"> IHU</w:t>
      </w:r>
      <w:r w:rsidR="00BB4770" w:rsidRPr="00FD7D41">
        <w:rPr>
          <w:rFonts w:cs="Arial"/>
          <w:color w:val="auto"/>
        </w:rPr>
        <w:t>.</w:t>
      </w:r>
    </w:p>
    <w:p w:rsidR="00AE31B2" w:rsidRDefault="0049489C" w:rsidP="00044E87">
      <w:pPr>
        <w:spacing w:before="80" w:after="40" w:line="240" w:lineRule="auto"/>
        <w:ind w:left="0"/>
        <w:rPr>
          <w:rFonts w:cs="Arial"/>
          <w:b/>
        </w:rPr>
      </w:pPr>
      <w:r>
        <w:rPr>
          <w:rFonts w:cs="Arial"/>
          <w:b/>
        </w:rPr>
        <w:t>Autres points à noter</w:t>
      </w:r>
    </w:p>
    <w:p w:rsidR="0049489C" w:rsidRPr="00FD7D41" w:rsidRDefault="0049489C" w:rsidP="005277A7">
      <w:pPr>
        <w:pStyle w:val="Paragraphedeliste"/>
        <w:numPr>
          <w:ilvl w:val="0"/>
          <w:numId w:val="11"/>
        </w:numPr>
        <w:spacing w:after="0" w:line="240" w:lineRule="auto"/>
        <w:ind w:left="1985" w:hanging="284"/>
        <w:jc w:val="both"/>
        <w:rPr>
          <w:rFonts w:cs="Arial"/>
          <w:color w:val="auto"/>
        </w:rPr>
      </w:pPr>
      <w:r w:rsidRPr="00FD7D41">
        <w:rPr>
          <w:rFonts w:cs="Arial"/>
          <w:color w:val="auto"/>
        </w:rPr>
        <w:t>L</w:t>
      </w:r>
      <w:r w:rsidR="004176F3">
        <w:rPr>
          <w:rFonts w:cs="Arial"/>
          <w:color w:val="auto"/>
        </w:rPr>
        <w:t>a date limite de clôture de l’AA</w:t>
      </w:r>
      <w:r w:rsidRPr="00FD7D41">
        <w:rPr>
          <w:rFonts w:cs="Arial"/>
          <w:color w:val="auto"/>
        </w:rPr>
        <w:t>P est antérieure à celle du dépôt des Idex</w:t>
      </w:r>
      <w:r w:rsidR="00E806EB" w:rsidRPr="00FD7D41">
        <w:rPr>
          <w:rFonts w:cs="Arial"/>
          <w:color w:val="auto"/>
        </w:rPr>
        <w:t xml:space="preserve"> (17/12/2010)</w:t>
      </w:r>
    </w:p>
    <w:p w:rsidR="00AE31B2" w:rsidRPr="00FD7D41" w:rsidRDefault="00AE31B2" w:rsidP="005277A7">
      <w:pPr>
        <w:pStyle w:val="Paragraphedeliste"/>
        <w:numPr>
          <w:ilvl w:val="0"/>
          <w:numId w:val="11"/>
        </w:numPr>
        <w:spacing w:after="0" w:line="240" w:lineRule="auto"/>
        <w:ind w:left="1985" w:hanging="284"/>
        <w:jc w:val="both"/>
        <w:rPr>
          <w:rFonts w:cs="Arial"/>
          <w:color w:val="auto"/>
        </w:rPr>
      </w:pPr>
      <w:r w:rsidRPr="00FD7D41">
        <w:rPr>
          <w:rFonts w:cs="Arial"/>
          <w:color w:val="auto"/>
        </w:rPr>
        <w:t xml:space="preserve">Les documents de soumission, les annexes financières et le guide méthodologique </w:t>
      </w:r>
      <w:r w:rsidR="00A9036C">
        <w:rPr>
          <w:rFonts w:cs="Arial"/>
          <w:color w:val="auto"/>
        </w:rPr>
        <w:t>ont été publiés respectivement les 06/10/2010 et 07/10/2010</w:t>
      </w:r>
    </w:p>
    <w:p w:rsidR="00F35697" w:rsidRPr="00FD7D41" w:rsidRDefault="00C75C99" w:rsidP="005277A7">
      <w:pPr>
        <w:pStyle w:val="Paragraphedeliste"/>
        <w:numPr>
          <w:ilvl w:val="0"/>
          <w:numId w:val="11"/>
        </w:numPr>
        <w:spacing w:after="0" w:line="240" w:lineRule="auto"/>
        <w:ind w:left="1985" w:hanging="284"/>
        <w:jc w:val="both"/>
        <w:rPr>
          <w:rFonts w:cs="Arial"/>
          <w:color w:val="auto"/>
        </w:rPr>
      </w:pPr>
      <w:r w:rsidRPr="00FD7D41">
        <w:rPr>
          <w:rFonts w:cs="Arial"/>
          <w:color w:val="auto"/>
        </w:rPr>
        <w:t>Le DGI réfléchit à une implication d</w:t>
      </w:r>
      <w:r w:rsidR="00AE31B2" w:rsidRPr="00FD7D41">
        <w:rPr>
          <w:rFonts w:cs="Arial"/>
          <w:color w:val="auto"/>
        </w:rPr>
        <w:t>es collectivités locales</w:t>
      </w:r>
      <w:r w:rsidR="006C2674" w:rsidRPr="00FD7D41">
        <w:rPr>
          <w:rFonts w:cs="Arial"/>
          <w:color w:val="auto"/>
        </w:rPr>
        <w:t xml:space="preserve"> (28/09/2010)</w:t>
      </w:r>
    </w:p>
    <w:p w:rsidR="000F7990" w:rsidRPr="00FD7D41" w:rsidRDefault="000F7990">
      <w:pPr>
        <w:rPr>
          <w:rFonts w:asciiTheme="majorHAnsi" w:eastAsiaTheme="majorEastAsia" w:hAnsiTheme="majorHAnsi" w:cstheme="majorBidi"/>
          <w:smallCaps/>
          <w:noProof/>
          <w:color w:val="auto"/>
          <w:spacing w:val="20"/>
          <w:sz w:val="28"/>
          <w:szCs w:val="28"/>
          <w:lang w:eastAsia="fr-FR"/>
        </w:rPr>
      </w:pPr>
    </w:p>
    <w:p w:rsidR="00F74278" w:rsidRPr="00C50043" w:rsidRDefault="0058263A" w:rsidP="004A3B1A">
      <w:pPr>
        <w:pStyle w:val="Titre2"/>
        <w:spacing w:after="160"/>
        <w:ind w:left="0"/>
        <w:rPr>
          <w:noProof/>
          <w:color w:val="00819B"/>
          <w:lang w:eastAsia="fr-FR"/>
        </w:rPr>
      </w:pPr>
      <w:r w:rsidRPr="00C50043">
        <w:rPr>
          <w:noProof/>
          <w:color w:val="00819B"/>
          <w:lang w:eastAsia="fr-FR"/>
        </w:rPr>
        <w:t>2.</w:t>
      </w:r>
      <w:r w:rsidR="004A0A68" w:rsidRPr="00C50043">
        <w:rPr>
          <w:noProof/>
          <w:color w:val="00819B"/>
          <w:lang w:eastAsia="fr-FR"/>
        </w:rPr>
        <w:t xml:space="preserve"> </w:t>
      </w:r>
      <w:r w:rsidR="00FF0C5C" w:rsidRPr="00C50043">
        <w:rPr>
          <w:noProof/>
          <w:color w:val="00819B"/>
          <w:lang w:eastAsia="fr-FR"/>
        </w:rPr>
        <w:t xml:space="preserve">Ouest </w:t>
      </w:r>
      <w:r w:rsidR="00D91090" w:rsidRPr="00C50043">
        <w:rPr>
          <w:noProof/>
          <w:color w:val="00819B"/>
          <w:lang w:eastAsia="fr-FR"/>
        </w:rPr>
        <w:t>V</w:t>
      </w:r>
      <w:r w:rsidR="00FF0C5C" w:rsidRPr="00C50043">
        <w:rPr>
          <w:noProof/>
          <w:color w:val="00819B"/>
          <w:lang w:eastAsia="fr-FR"/>
        </w:rPr>
        <w:t>alorisation</w:t>
      </w:r>
    </w:p>
    <w:p w:rsidR="00C75C99" w:rsidRPr="00FD7D41" w:rsidRDefault="00F21AF8" w:rsidP="000F7990">
      <w:pPr>
        <w:spacing w:after="40" w:line="240" w:lineRule="auto"/>
        <w:ind w:left="1701"/>
        <w:jc w:val="both"/>
        <w:rPr>
          <w:noProof/>
          <w:color w:val="auto"/>
          <w:lang w:eastAsia="fr-FR"/>
        </w:rPr>
      </w:pPr>
      <w:r w:rsidRPr="00FD7D41">
        <w:rPr>
          <w:noProof/>
          <w:color w:val="auto"/>
          <w:lang w:eastAsia="fr-FR"/>
        </w:rPr>
        <w:t>L’objectif d’Ouest Valorisation est de fournir aux établissements</w:t>
      </w:r>
      <w:r w:rsidR="00851A73" w:rsidRPr="00FD7D41">
        <w:rPr>
          <w:noProof/>
          <w:color w:val="auto"/>
          <w:lang w:eastAsia="fr-FR"/>
        </w:rPr>
        <w:t xml:space="preserve"> et à leurs chercheurs</w:t>
      </w:r>
      <w:r w:rsidRPr="00FD7D41">
        <w:rPr>
          <w:noProof/>
          <w:color w:val="auto"/>
          <w:lang w:eastAsia="fr-FR"/>
        </w:rPr>
        <w:t xml:space="preserve"> une palette complète de compétences </w:t>
      </w:r>
      <w:r w:rsidR="00851A73" w:rsidRPr="00FD7D41">
        <w:rPr>
          <w:noProof/>
          <w:color w:val="auto"/>
          <w:lang w:eastAsia="fr-FR"/>
        </w:rPr>
        <w:t xml:space="preserve">et de services couvrant </w:t>
      </w:r>
      <w:r w:rsidR="00C75C99" w:rsidRPr="00FD7D41">
        <w:rPr>
          <w:noProof/>
          <w:color w:val="auto"/>
          <w:lang w:eastAsia="fr-FR"/>
        </w:rPr>
        <w:t>les différentes formes de valorisation, aux différents stades</w:t>
      </w:r>
      <w:r w:rsidR="00851A73" w:rsidRPr="00FD7D41">
        <w:rPr>
          <w:noProof/>
          <w:color w:val="auto"/>
          <w:lang w:eastAsia="fr-FR"/>
        </w:rPr>
        <w:t xml:space="preserve"> du processus</w:t>
      </w:r>
      <w:r w:rsidR="00C75C99" w:rsidRPr="00FD7D41">
        <w:rPr>
          <w:noProof/>
          <w:color w:val="auto"/>
          <w:lang w:eastAsia="fr-FR"/>
        </w:rPr>
        <w:t>.</w:t>
      </w:r>
    </w:p>
    <w:p w:rsidR="00FC20C1" w:rsidRPr="00FD7D41" w:rsidRDefault="00FC20C1" w:rsidP="000F7990">
      <w:pPr>
        <w:spacing w:after="40" w:line="240" w:lineRule="auto"/>
        <w:ind w:left="1701"/>
        <w:jc w:val="both"/>
        <w:rPr>
          <w:noProof/>
          <w:color w:val="auto"/>
          <w:lang w:eastAsia="fr-FR"/>
        </w:rPr>
      </w:pPr>
      <w:r w:rsidRPr="00FD7D41">
        <w:rPr>
          <w:noProof/>
          <w:color w:val="auto"/>
          <w:lang w:eastAsia="fr-FR"/>
        </w:rPr>
        <w:t>Ce projet s’avère être en conformité avec les spécifications de l’appel à projet paru le 30 juillet 2010.</w:t>
      </w:r>
    </w:p>
    <w:p w:rsidR="0099616E" w:rsidRPr="000F7990" w:rsidRDefault="00D91090" w:rsidP="00044E87">
      <w:pPr>
        <w:spacing w:before="80" w:after="40" w:line="240" w:lineRule="auto"/>
        <w:ind w:left="0"/>
        <w:rPr>
          <w:rFonts w:cs="Arial"/>
          <w:b/>
        </w:rPr>
      </w:pPr>
      <w:r w:rsidRPr="000F7990">
        <w:rPr>
          <w:rFonts w:cs="Arial"/>
          <w:b/>
        </w:rPr>
        <w:t>Actionnariat et territoire</w:t>
      </w:r>
    </w:p>
    <w:p w:rsidR="004A0A68" w:rsidRPr="00FD7D41" w:rsidRDefault="008B3C66" w:rsidP="005060F4">
      <w:pPr>
        <w:spacing w:afterLines="40" w:line="240" w:lineRule="auto"/>
        <w:ind w:left="1701"/>
        <w:jc w:val="both"/>
        <w:rPr>
          <w:noProof/>
          <w:color w:val="auto"/>
          <w:lang w:eastAsia="fr-FR"/>
        </w:rPr>
      </w:pPr>
      <w:r w:rsidRPr="00FD7D41">
        <w:rPr>
          <w:noProof/>
          <w:color w:val="auto"/>
          <w:lang w:eastAsia="fr-FR"/>
        </w:rPr>
        <w:t xml:space="preserve">Les </w:t>
      </w:r>
      <w:r w:rsidR="006766FC" w:rsidRPr="00FD7D41">
        <w:rPr>
          <w:noProof/>
          <w:color w:val="auto"/>
          <w:lang w:eastAsia="fr-FR"/>
        </w:rPr>
        <w:t xml:space="preserve">Universités d’Angers, du </w:t>
      </w:r>
      <w:r w:rsidR="00367F77" w:rsidRPr="00FD7D41">
        <w:rPr>
          <w:noProof/>
          <w:color w:val="auto"/>
          <w:lang w:eastAsia="fr-FR"/>
        </w:rPr>
        <w:t>Maine et de N</w:t>
      </w:r>
      <w:r w:rsidR="006766FC" w:rsidRPr="00FD7D41">
        <w:rPr>
          <w:noProof/>
          <w:color w:val="auto"/>
          <w:lang w:eastAsia="fr-FR"/>
        </w:rPr>
        <w:t>antes</w:t>
      </w:r>
      <w:r w:rsidR="0056473C" w:rsidRPr="00FD7D41">
        <w:rPr>
          <w:noProof/>
          <w:color w:val="auto"/>
          <w:lang w:eastAsia="fr-FR"/>
        </w:rPr>
        <w:t xml:space="preserve"> s</w:t>
      </w:r>
      <w:r w:rsidR="001F0F13" w:rsidRPr="00FD7D41">
        <w:rPr>
          <w:noProof/>
          <w:color w:val="auto"/>
          <w:lang w:eastAsia="fr-FR"/>
        </w:rPr>
        <w:t xml:space="preserve">ont </w:t>
      </w:r>
      <w:r w:rsidR="004B5811" w:rsidRPr="00FD7D41">
        <w:rPr>
          <w:noProof/>
          <w:color w:val="auto"/>
          <w:lang w:eastAsia="fr-FR"/>
        </w:rPr>
        <w:t xml:space="preserve">actuellement </w:t>
      </w:r>
      <w:r w:rsidR="001F0F13" w:rsidRPr="00FD7D41">
        <w:rPr>
          <w:noProof/>
          <w:color w:val="auto"/>
          <w:lang w:eastAsia="fr-FR"/>
        </w:rPr>
        <w:t>positionné</w:t>
      </w:r>
      <w:r w:rsidR="00D91090" w:rsidRPr="00FD7D41">
        <w:rPr>
          <w:noProof/>
          <w:color w:val="auto"/>
          <w:lang w:eastAsia="fr-FR"/>
        </w:rPr>
        <w:t>e</w:t>
      </w:r>
      <w:r w:rsidR="001F0F13" w:rsidRPr="00FD7D41">
        <w:rPr>
          <w:noProof/>
          <w:color w:val="auto"/>
          <w:lang w:eastAsia="fr-FR"/>
        </w:rPr>
        <w:t>s pour entrer dans la SATT</w:t>
      </w:r>
      <w:r w:rsidR="004B5811" w:rsidRPr="00FD7D41">
        <w:rPr>
          <w:noProof/>
          <w:color w:val="auto"/>
          <w:lang w:eastAsia="fr-FR"/>
        </w:rPr>
        <w:t xml:space="preserve">, et d’autres membres de L’UNAM </w:t>
      </w:r>
      <w:r w:rsidR="006766FC" w:rsidRPr="00FD7D41">
        <w:rPr>
          <w:noProof/>
          <w:color w:val="auto"/>
          <w:lang w:eastAsia="fr-FR"/>
        </w:rPr>
        <w:t>se sont montrés intéressés</w:t>
      </w:r>
      <w:r w:rsidR="004B5811" w:rsidRPr="00FD7D41">
        <w:rPr>
          <w:noProof/>
          <w:color w:val="auto"/>
          <w:lang w:eastAsia="fr-FR"/>
        </w:rPr>
        <w:t>. L’UNAM sera la structure de portage de l’actionnariat des établissements ligériens.</w:t>
      </w:r>
    </w:p>
    <w:p w:rsidR="001F0F13" w:rsidRPr="00FD7D41" w:rsidRDefault="006766FC" w:rsidP="005060F4">
      <w:pPr>
        <w:spacing w:afterLines="40" w:line="240" w:lineRule="auto"/>
        <w:ind w:left="1701"/>
        <w:jc w:val="both"/>
        <w:rPr>
          <w:noProof/>
          <w:color w:val="auto"/>
          <w:lang w:eastAsia="fr-FR"/>
        </w:rPr>
      </w:pPr>
      <w:r w:rsidRPr="00FD7D41">
        <w:rPr>
          <w:noProof/>
          <w:color w:val="auto"/>
          <w:lang w:eastAsia="fr-FR"/>
        </w:rPr>
        <w:t>En Bretagne, l</w:t>
      </w:r>
      <w:r w:rsidR="001F0F13" w:rsidRPr="00FD7D41">
        <w:rPr>
          <w:noProof/>
          <w:color w:val="auto"/>
          <w:lang w:eastAsia="fr-FR"/>
        </w:rPr>
        <w:t xml:space="preserve">es </w:t>
      </w:r>
      <w:r w:rsidRPr="00FD7D41">
        <w:rPr>
          <w:noProof/>
          <w:color w:val="auto"/>
          <w:lang w:eastAsia="fr-FR"/>
        </w:rPr>
        <w:t xml:space="preserve">8 </w:t>
      </w:r>
      <w:r w:rsidR="00D91090" w:rsidRPr="00FD7D41">
        <w:rPr>
          <w:noProof/>
          <w:color w:val="auto"/>
          <w:lang w:eastAsia="fr-FR"/>
        </w:rPr>
        <w:t xml:space="preserve">établissements </w:t>
      </w:r>
      <w:r w:rsidR="004B5811" w:rsidRPr="00FD7D41">
        <w:rPr>
          <w:noProof/>
          <w:color w:val="auto"/>
          <w:lang w:eastAsia="fr-FR"/>
        </w:rPr>
        <w:t>fondateurs de</w:t>
      </w:r>
      <w:r w:rsidRPr="00FD7D41">
        <w:rPr>
          <w:noProof/>
          <w:color w:val="auto"/>
          <w:lang w:eastAsia="fr-FR"/>
        </w:rPr>
        <w:t xml:space="preserve"> </w:t>
      </w:r>
      <w:r w:rsidR="001F0F13" w:rsidRPr="00FD7D41">
        <w:rPr>
          <w:noProof/>
          <w:color w:val="auto"/>
          <w:lang w:eastAsia="fr-FR"/>
        </w:rPr>
        <w:t>Bretagne Valorisation</w:t>
      </w:r>
      <w:r w:rsidR="004A3B1A" w:rsidRPr="00FD7D41">
        <w:rPr>
          <w:noProof/>
          <w:color w:val="auto"/>
          <w:lang w:eastAsia="fr-FR"/>
        </w:rPr>
        <w:t xml:space="preserve"> </w:t>
      </w:r>
      <w:r w:rsidRPr="00FD7D41">
        <w:rPr>
          <w:noProof/>
          <w:color w:val="auto"/>
          <w:lang w:eastAsia="fr-FR"/>
        </w:rPr>
        <w:t xml:space="preserve">seront tous </w:t>
      </w:r>
      <w:r w:rsidR="00D91090" w:rsidRPr="00FD7D41">
        <w:rPr>
          <w:noProof/>
          <w:color w:val="auto"/>
          <w:lang w:eastAsia="fr-FR"/>
        </w:rPr>
        <w:t>actionnaires</w:t>
      </w:r>
      <w:r w:rsidRPr="00FD7D41">
        <w:rPr>
          <w:noProof/>
          <w:color w:val="auto"/>
          <w:lang w:eastAsia="fr-FR"/>
        </w:rPr>
        <w:t xml:space="preserve"> </w:t>
      </w:r>
      <w:r w:rsidR="00D91090" w:rsidRPr="00FD7D41">
        <w:rPr>
          <w:noProof/>
          <w:color w:val="auto"/>
          <w:lang w:eastAsia="fr-FR"/>
        </w:rPr>
        <w:t>:</w:t>
      </w:r>
      <w:r w:rsidR="0056473C" w:rsidRPr="00FD7D41">
        <w:rPr>
          <w:noProof/>
          <w:color w:val="auto"/>
          <w:lang w:eastAsia="fr-FR"/>
        </w:rPr>
        <w:t xml:space="preserve"> </w:t>
      </w:r>
      <w:r w:rsidR="001F0F13" w:rsidRPr="00FD7D41">
        <w:rPr>
          <w:noProof/>
          <w:color w:val="auto"/>
          <w:lang w:eastAsia="fr-FR"/>
        </w:rPr>
        <w:t>Université de Rennes 1,</w:t>
      </w:r>
      <w:r w:rsidR="00F275AB" w:rsidRPr="00FD7D41">
        <w:rPr>
          <w:noProof/>
          <w:color w:val="auto"/>
          <w:lang w:eastAsia="fr-FR"/>
        </w:rPr>
        <w:t xml:space="preserve"> </w:t>
      </w:r>
      <w:r w:rsidR="00D91090" w:rsidRPr="00FD7D41">
        <w:rPr>
          <w:noProof/>
          <w:color w:val="auto"/>
          <w:lang w:eastAsia="fr-FR"/>
        </w:rPr>
        <w:t xml:space="preserve">Université </w:t>
      </w:r>
      <w:r w:rsidR="00FC20C1" w:rsidRPr="00FD7D41">
        <w:rPr>
          <w:noProof/>
          <w:color w:val="auto"/>
          <w:lang w:eastAsia="fr-FR"/>
        </w:rPr>
        <w:t xml:space="preserve">de </w:t>
      </w:r>
      <w:r w:rsidR="00D91090" w:rsidRPr="00FD7D41">
        <w:rPr>
          <w:noProof/>
          <w:color w:val="auto"/>
          <w:lang w:eastAsia="fr-FR"/>
        </w:rPr>
        <w:t xml:space="preserve">Rennes 2, </w:t>
      </w:r>
      <w:r w:rsidR="001F0F13" w:rsidRPr="00FD7D41">
        <w:rPr>
          <w:noProof/>
          <w:color w:val="auto"/>
          <w:lang w:eastAsia="fr-FR"/>
        </w:rPr>
        <w:t>Univer</w:t>
      </w:r>
      <w:r w:rsidR="00D91090" w:rsidRPr="00FD7D41">
        <w:rPr>
          <w:noProof/>
          <w:color w:val="auto"/>
          <w:lang w:eastAsia="fr-FR"/>
        </w:rPr>
        <w:t xml:space="preserve">sité de Bretagne Occidentale, </w:t>
      </w:r>
      <w:r w:rsidR="001F0F13" w:rsidRPr="00FD7D41">
        <w:rPr>
          <w:noProof/>
          <w:color w:val="auto"/>
          <w:lang w:eastAsia="fr-FR"/>
        </w:rPr>
        <w:t>Université de Bretagne Su</w:t>
      </w:r>
      <w:r w:rsidR="00D91090" w:rsidRPr="00FD7D41">
        <w:rPr>
          <w:noProof/>
          <w:color w:val="auto"/>
          <w:lang w:eastAsia="fr-FR"/>
        </w:rPr>
        <w:t xml:space="preserve">d, </w:t>
      </w:r>
      <w:r w:rsidR="00FC20C1" w:rsidRPr="00FD7D41">
        <w:rPr>
          <w:noProof/>
          <w:color w:val="auto"/>
          <w:lang w:eastAsia="fr-FR"/>
        </w:rPr>
        <w:t>ENSC</w:t>
      </w:r>
      <w:r w:rsidR="00D91090" w:rsidRPr="00FD7D41">
        <w:rPr>
          <w:noProof/>
          <w:color w:val="auto"/>
          <w:lang w:eastAsia="fr-FR"/>
        </w:rPr>
        <w:t xml:space="preserve"> de Rennes, </w:t>
      </w:r>
      <w:r w:rsidR="00FC20C1" w:rsidRPr="00FD7D41">
        <w:rPr>
          <w:noProof/>
          <w:color w:val="auto"/>
          <w:lang w:eastAsia="fr-FR"/>
        </w:rPr>
        <w:t>INSA</w:t>
      </w:r>
      <w:r w:rsidR="001F0F13" w:rsidRPr="00FD7D41">
        <w:rPr>
          <w:noProof/>
          <w:color w:val="auto"/>
          <w:lang w:eastAsia="fr-FR"/>
        </w:rPr>
        <w:t xml:space="preserve"> de</w:t>
      </w:r>
      <w:r w:rsidR="00D91090" w:rsidRPr="00FD7D41">
        <w:rPr>
          <w:noProof/>
          <w:color w:val="auto"/>
          <w:lang w:eastAsia="fr-FR"/>
        </w:rPr>
        <w:t xml:space="preserve"> Rennes, Agrocampus Rennes et </w:t>
      </w:r>
      <w:r w:rsidR="001F0F13" w:rsidRPr="00FD7D41">
        <w:rPr>
          <w:noProof/>
          <w:color w:val="auto"/>
          <w:lang w:eastAsia="fr-FR"/>
        </w:rPr>
        <w:t>ENS Cachan - Antenne de Bretagne.</w:t>
      </w:r>
      <w:r w:rsidR="004D4DEE" w:rsidRPr="00FD7D41">
        <w:rPr>
          <w:noProof/>
          <w:color w:val="auto"/>
          <w:lang w:eastAsia="fr-FR"/>
        </w:rPr>
        <w:t xml:space="preserve"> D’autres établissements du PRES UEB</w:t>
      </w:r>
      <w:r w:rsidR="004B5811" w:rsidRPr="00FD7D41">
        <w:rPr>
          <w:noProof/>
          <w:color w:val="auto"/>
          <w:lang w:eastAsia="fr-FR"/>
        </w:rPr>
        <w:t>,</w:t>
      </w:r>
      <w:r w:rsidR="004D4DEE" w:rsidRPr="00FD7D41">
        <w:rPr>
          <w:noProof/>
          <w:color w:val="auto"/>
          <w:lang w:eastAsia="fr-FR"/>
        </w:rPr>
        <w:t xml:space="preserve"> </w:t>
      </w:r>
      <w:r w:rsidR="004B5811" w:rsidRPr="00FD7D41">
        <w:rPr>
          <w:noProof/>
          <w:color w:val="auto"/>
          <w:lang w:eastAsia="fr-FR"/>
        </w:rPr>
        <w:t xml:space="preserve">dont Télécom Bretagne, </w:t>
      </w:r>
      <w:r w:rsidRPr="00FD7D41">
        <w:rPr>
          <w:noProof/>
          <w:color w:val="auto"/>
          <w:lang w:eastAsia="fr-FR"/>
        </w:rPr>
        <w:t xml:space="preserve">sont susceptibles de rentrer. </w:t>
      </w:r>
      <w:r w:rsidR="004B5811" w:rsidRPr="00FD7D41">
        <w:rPr>
          <w:noProof/>
          <w:color w:val="auto"/>
          <w:lang w:eastAsia="fr-FR"/>
        </w:rPr>
        <w:t xml:space="preserve">Le PRES UEB sera porteur de l’actionnariat </w:t>
      </w:r>
      <w:r w:rsidRPr="00FD7D41">
        <w:rPr>
          <w:noProof/>
          <w:color w:val="auto"/>
          <w:lang w:eastAsia="fr-FR"/>
        </w:rPr>
        <w:t>de ses membres</w:t>
      </w:r>
      <w:r w:rsidR="004B5811" w:rsidRPr="00FD7D41">
        <w:rPr>
          <w:noProof/>
          <w:color w:val="auto"/>
          <w:lang w:eastAsia="fr-FR"/>
        </w:rPr>
        <w:t xml:space="preserve">. </w:t>
      </w:r>
    </w:p>
    <w:p w:rsidR="00FC20C1" w:rsidRPr="00FD7D41" w:rsidRDefault="00FC20C1" w:rsidP="005060F4">
      <w:pPr>
        <w:spacing w:afterLines="40" w:line="240" w:lineRule="auto"/>
        <w:ind w:left="1701"/>
        <w:jc w:val="both"/>
        <w:rPr>
          <w:noProof/>
          <w:color w:val="auto"/>
          <w:lang w:eastAsia="fr-FR"/>
        </w:rPr>
      </w:pPr>
      <w:r w:rsidRPr="00FD7D41">
        <w:rPr>
          <w:noProof/>
          <w:color w:val="auto"/>
          <w:lang w:eastAsia="fr-FR"/>
        </w:rPr>
        <w:t>En terme de masse critique</w:t>
      </w:r>
      <w:r w:rsidR="0056473C" w:rsidRPr="00FD7D41">
        <w:rPr>
          <w:noProof/>
          <w:color w:val="auto"/>
          <w:lang w:eastAsia="fr-FR"/>
        </w:rPr>
        <w:t>, l</w:t>
      </w:r>
      <w:r w:rsidR="004D4DEE" w:rsidRPr="00FD7D41">
        <w:rPr>
          <w:noProof/>
          <w:color w:val="auto"/>
          <w:lang w:eastAsia="fr-FR"/>
        </w:rPr>
        <w:t xml:space="preserve">es deux régions totalisent un montant de 754 M€ </w:t>
      </w:r>
      <w:r w:rsidR="004B5811" w:rsidRPr="00FD7D41">
        <w:rPr>
          <w:noProof/>
          <w:color w:val="auto"/>
          <w:lang w:eastAsia="fr-FR"/>
        </w:rPr>
        <w:t xml:space="preserve">de DIRDA </w:t>
      </w:r>
      <w:r w:rsidR="004D4DEE" w:rsidRPr="00FD7D41">
        <w:rPr>
          <w:noProof/>
          <w:color w:val="auto"/>
          <w:lang w:eastAsia="fr-FR"/>
        </w:rPr>
        <w:t xml:space="preserve">: 486 </w:t>
      </w:r>
      <w:r w:rsidR="0056473C" w:rsidRPr="00FD7D41">
        <w:rPr>
          <w:noProof/>
          <w:color w:val="auto"/>
          <w:lang w:eastAsia="fr-FR"/>
        </w:rPr>
        <w:t xml:space="preserve">M€ </w:t>
      </w:r>
      <w:r w:rsidR="004D4DEE" w:rsidRPr="00FD7D41">
        <w:rPr>
          <w:noProof/>
          <w:color w:val="auto"/>
          <w:lang w:eastAsia="fr-FR"/>
        </w:rPr>
        <w:t xml:space="preserve">en Bretagne et 268 </w:t>
      </w:r>
      <w:r w:rsidR="0056473C" w:rsidRPr="00FD7D41">
        <w:rPr>
          <w:noProof/>
          <w:color w:val="auto"/>
          <w:lang w:eastAsia="fr-FR"/>
        </w:rPr>
        <w:t xml:space="preserve">M€ </w:t>
      </w:r>
      <w:r w:rsidR="004D4DEE" w:rsidRPr="00FD7D41">
        <w:rPr>
          <w:noProof/>
          <w:color w:val="auto"/>
          <w:lang w:eastAsia="fr-FR"/>
        </w:rPr>
        <w:t>en Pays de la Loire (données 2007)</w:t>
      </w:r>
      <w:r w:rsidRPr="00FD7D41">
        <w:rPr>
          <w:noProof/>
          <w:color w:val="auto"/>
          <w:lang w:eastAsia="fr-FR"/>
        </w:rPr>
        <w:t>.</w:t>
      </w:r>
    </w:p>
    <w:p w:rsidR="00F21AF8" w:rsidRPr="00FD7D41" w:rsidRDefault="00F21AF8" w:rsidP="005060F4">
      <w:pPr>
        <w:spacing w:afterLines="40" w:line="240" w:lineRule="auto"/>
        <w:ind w:left="1701"/>
        <w:jc w:val="both"/>
        <w:rPr>
          <w:noProof/>
          <w:color w:val="auto"/>
          <w:lang w:eastAsia="fr-FR"/>
        </w:rPr>
      </w:pPr>
      <w:r w:rsidRPr="00FD7D41">
        <w:rPr>
          <w:noProof/>
          <w:color w:val="auto"/>
          <w:lang w:eastAsia="fr-FR"/>
        </w:rPr>
        <w:t>Par ailleurs :</w:t>
      </w:r>
    </w:p>
    <w:p w:rsidR="00B67DFE"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l</w:t>
      </w:r>
      <w:r w:rsidR="00B67DFE" w:rsidRPr="00FD7D41">
        <w:rPr>
          <w:rFonts w:cs="Arial"/>
          <w:color w:val="auto"/>
        </w:rPr>
        <w:t xml:space="preserve">es </w:t>
      </w:r>
      <w:r w:rsidR="00E0538D" w:rsidRPr="00FD7D41">
        <w:rPr>
          <w:rFonts w:cs="Arial"/>
          <w:color w:val="auto"/>
        </w:rPr>
        <w:t xml:space="preserve">établissements des </w:t>
      </w:r>
      <w:r w:rsidR="00B67DFE" w:rsidRPr="00FD7D41">
        <w:rPr>
          <w:rFonts w:cs="Arial"/>
          <w:color w:val="auto"/>
        </w:rPr>
        <w:t xml:space="preserve">régions Centre, Basse et Haute Normandie </w:t>
      </w:r>
      <w:r w:rsidR="00F21AF8" w:rsidRPr="00FD7D41">
        <w:rPr>
          <w:rFonts w:cs="Arial"/>
          <w:color w:val="auto"/>
        </w:rPr>
        <w:t>ont manifesté leur intérêt pour entrer dans la SATT</w:t>
      </w:r>
      <w:r w:rsidR="00367F77" w:rsidRPr="00FD7D41">
        <w:rPr>
          <w:rFonts w:cs="Arial"/>
          <w:color w:val="auto"/>
        </w:rPr>
        <w:t xml:space="preserve">, mais rien n’est à ce jour fixé. </w:t>
      </w:r>
    </w:p>
    <w:p w:rsidR="00367F77"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un</w:t>
      </w:r>
      <w:r w:rsidR="00367F77" w:rsidRPr="00FD7D41">
        <w:rPr>
          <w:rFonts w:cs="Arial"/>
          <w:color w:val="auto"/>
        </w:rPr>
        <w:t xml:space="preserve"> partenariat spécifique, selon des modalités à préciser, a été envisagé avec </w:t>
      </w:r>
      <w:r w:rsidR="004A3B1A" w:rsidRPr="00FD7D41">
        <w:rPr>
          <w:rFonts w:cs="Arial"/>
          <w:color w:val="auto"/>
        </w:rPr>
        <w:t xml:space="preserve">des établissements ultra marins </w:t>
      </w:r>
      <w:r w:rsidR="00367F77" w:rsidRPr="00FD7D41">
        <w:rPr>
          <w:rFonts w:cs="Arial"/>
          <w:color w:val="auto"/>
        </w:rPr>
        <w:t>(Antilles, Guyane</w:t>
      </w:r>
      <w:r w:rsidR="004A3B1A" w:rsidRPr="00FD7D41">
        <w:rPr>
          <w:rFonts w:cs="Arial"/>
          <w:color w:val="auto"/>
        </w:rPr>
        <w:t>, Nouvelle Calédonie, Réunion).</w:t>
      </w:r>
    </w:p>
    <w:p w:rsidR="00D016C7" w:rsidRPr="00FD7D41" w:rsidRDefault="00367F77" w:rsidP="00044E87">
      <w:pPr>
        <w:spacing w:after="40" w:line="240" w:lineRule="auto"/>
        <w:ind w:left="1701"/>
        <w:jc w:val="both"/>
        <w:rPr>
          <w:noProof/>
          <w:color w:val="auto"/>
          <w:lang w:eastAsia="fr-FR"/>
        </w:rPr>
      </w:pPr>
      <w:r w:rsidRPr="00FD7D41">
        <w:rPr>
          <w:noProof/>
          <w:color w:val="auto"/>
          <w:lang w:eastAsia="fr-FR"/>
        </w:rPr>
        <w:t xml:space="preserve">Une convention signée entre chaque établissement concerné déterminera le potentiel de recherche couvert, les objectifs de valorisation ciblés et les indicateurs de performance à évaluer. </w:t>
      </w:r>
    </w:p>
    <w:p w:rsidR="001F0F13" w:rsidRPr="000F7990" w:rsidRDefault="00887083" w:rsidP="00044E87">
      <w:pPr>
        <w:spacing w:before="80" w:after="40" w:line="240" w:lineRule="auto"/>
        <w:ind w:left="0"/>
        <w:rPr>
          <w:rFonts w:cs="Arial"/>
          <w:b/>
        </w:rPr>
      </w:pPr>
      <w:r w:rsidRPr="000F7990">
        <w:rPr>
          <w:rFonts w:cs="Arial"/>
          <w:b/>
        </w:rPr>
        <w:t>Périmètre d’activité</w:t>
      </w:r>
      <w:r w:rsidR="00851A73" w:rsidRPr="000F7990">
        <w:rPr>
          <w:rFonts w:cs="Arial"/>
          <w:b/>
        </w:rPr>
        <w:t xml:space="preserve"> </w:t>
      </w:r>
    </w:p>
    <w:p w:rsidR="00851A73" w:rsidRPr="00FD7D41" w:rsidRDefault="00C75C99" w:rsidP="000F7990">
      <w:pPr>
        <w:spacing w:after="0" w:line="240" w:lineRule="auto"/>
        <w:ind w:left="1701"/>
        <w:jc w:val="both"/>
        <w:rPr>
          <w:rFonts w:cs="Arial"/>
          <w:color w:val="auto"/>
        </w:rPr>
      </w:pPr>
      <w:r w:rsidRPr="00FD7D41">
        <w:rPr>
          <w:rFonts w:cs="Arial"/>
          <w:color w:val="auto"/>
        </w:rPr>
        <w:t>Les domaines d’activités d’Ouest Valorisation sont schématisés ci-dessous :</w:t>
      </w:r>
    </w:p>
    <w:p w:rsidR="000F7990" w:rsidRDefault="000F7990" w:rsidP="000F7990">
      <w:pPr>
        <w:pStyle w:val="Paragraphedeliste"/>
        <w:spacing w:after="0" w:line="240" w:lineRule="auto"/>
        <w:ind w:left="1985"/>
        <w:jc w:val="both"/>
        <w:rPr>
          <w:rFonts w:cs="Arial"/>
          <w:color w:val="262626" w:themeColor="text1" w:themeTint="D9"/>
        </w:rPr>
      </w:pPr>
    </w:p>
    <w:p w:rsidR="008B3C66" w:rsidRDefault="008B3C66" w:rsidP="00ED6889">
      <w:pPr>
        <w:ind w:left="1701"/>
        <w:rPr>
          <w:rFonts w:ascii="Arial" w:hAnsi="Arial"/>
        </w:rPr>
      </w:pPr>
      <w:r>
        <w:rPr>
          <w:rFonts w:ascii="Arial" w:hAnsi="Arial"/>
          <w:noProof/>
          <w:lang w:eastAsia="fr-FR" w:bidi="ar-SA"/>
        </w:rPr>
        <w:drawing>
          <wp:inline distT="0" distB="0" distL="0" distR="0">
            <wp:extent cx="4691883" cy="2648310"/>
            <wp:effectExtent l="57150" t="0" r="51567" b="37740"/>
            <wp:docPr id="8"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rFonts w:ascii="Arial" w:hAnsi="Arial"/>
          <w:noProof/>
          <w:lang w:eastAsia="fr-FR" w:bidi="ar-SA"/>
        </w:rPr>
        <w:drawing>
          <wp:inline distT="0" distB="0" distL="0" distR="0">
            <wp:extent cx="4715378" cy="509965"/>
            <wp:effectExtent l="57150" t="19050" r="47122" b="23435"/>
            <wp:docPr id="9"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F7EA8" w:rsidRDefault="002F7EA8">
      <w:pPr>
        <w:rPr>
          <w:rFonts w:ascii="Arial" w:hAnsi="Arial"/>
        </w:rPr>
      </w:pPr>
      <w:r>
        <w:rPr>
          <w:rFonts w:ascii="Arial" w:hAnsi="Arial"/>
        </w:rPr>
        <w:br w:type="page"/>
      </w:r>
    </w:p>
    <w:p w:rsidR="004176F3" w:rsidRDefault="004176F3">
      <w:pPr>
        <w:rPr>
          <w:rFonts w:ascii="Arial" w:hAnsi="Arial"/>
        </w:rPr>
      </w:pPr>
    </w:p>
    <w:p w:rsidR="0062203C" w:rsidRPr="00FD7D41" w:rsidRDefault="00851A73" w:rsidP="000F7990">
      <w:pPr>
        <w:spacing w:after="0" w:line="240" w:lineRule="auto"/>
        <w:ind w:left="1701"/>
        <w:jc w:val="both"/>
        <w:rPr>
          <w:rFonts w:cs="Arial"/>
          <w:color w:val="auto"/>
        </w:rPr>
      </w:pPr>
      <w:r w:rsidRPr="00FD7D41">
        <w:rPr>
          <w:rFonts w:cs="Arial"/>
          <w:color w:val="auto"/>
        </w:rPr>
        <w:t xml:space="preserve">Adéquation </w:t>
      </w:r>
      <w:r w:rsidR="00C75C99" w:rsidRPr="00FD7D41">
        <w:rPr>
          <w:rFonts w:cs="Arial"/>
          <w:color w:val="auto"/>
        </w:rPr>
        <w:t xml:space="preserve">du projet </w:t>
      </w:r>
      <w:r w:rsidR="00731041" w:rsidRPr="00FD7D41">
        <w:rPr>
          <w:rFonts w:cs="Arial"/>
          <w:color w:val="auto"/>
        </w:rPr>
        <w:t xml:space="preserve">Ouest Valorisation </w:t>
      </w:r>
      <w:r w:rsidRPr="00FD7D41">
        <w:rPr>
          <w:rFonts w:cs="Arial"/>
          <w:color w:val="auto"/>
        </w:rPr>
        <w:t>avec l’appel à projets SATT</w:t>
      </w:r>
      <w:r w:rsidR="000F7990" w:rsidRPr="00FD7D41">
        <w:rPr>
          <w:rFonts w:cs="Arial"/>
          <w:color w:val="auto"/>
        </w:rPr>
        <w:t> :</w:t>
      </w:r>
    </w:p>
    <w:p w:rsidR="00075BAD" w:rsidRPr="00FD7D41" w:rsidRDefault="00075BAD" w:rsidP="00075BAD">
      <w:pPr>
        <w:spacing w:after="0" w:line="240" w:lineRule="auto"/>
        <w:ind w:left="1701"/>
        <w:jc w:val="both"/>
        <w:rPr>
          <w:rFonts w:cs="Arial"/>
          <w:color w:val="auto"/>
        </w:rPr>
      </w:pPr>
    </w:p>
    <w:tbl>
      <w:tblPr>
        <w:tblStyle w:val="Grilledutableau"/>
        <w:tblW w:w="9498" w:type="dxa"/>
        <w:tblInd w:w="-176" w:type="dxa"/>
        <w:tblLook w:val="04A0"/>
      </w:tblPr>
      <w:tblGrid>
        <w:gridCol w:w="4395"/>
        <w:gridCol w:w="5103"/>
      </w:tblGrid>
      <w:tr w:rsidR="00040BFA" w:rsidRPr="007B7A4B" w:rsidTr="00D81167">
        <w:trPr>
          <w:trHeight w:val="847"/>
        </w:trPr>
        <w:tc>
          <w:tcPr>
            <w:tcW w:w="4395" w:type="dxa"/>
          </w:tcPr>
          <w:p w:rsidR="0046264A" w:rsidRPr="002F7EA8" w:rsidRDefault="0046264A" w:rsidP="0046264A">
            <w:pPr>
              <w:ind w:left="0" w:right="-5"/>
              <w:jc w:val="center"/>
              <w:rPr>
                <w:rFonts w:cs="Arial"/>
                <w:b/>
                <w:color w:val="auto"/>
                <w:sz w:val="18"/>
                <w:szCs w:val="18"/>
              </w:rPr>
            </w:pPr>
          </w:p>
          <w:p w:rsidR="00040BFA" w:rsidRPr="002F7EA8" w:rsidRDefault="00040BFA" w:rsidP="0046264A">
            <w:pPr>
              <w:ind w:left="0" w:right="-5"/>
              <w:jc w:val="center"/>
              <w:rPr>
                <w:rFonts w:cs="Arial"/>
                <w:b/>
                <w:color w:val="auto"/>
                <w:sz w:val="18"/>
                <w:szCs w:val="18"/>
              </w:rPr>
            </w:pPr>
            <w:r w:rsidRPr="002F7EA8">
              <w:rPr>
                <w:rFonts w:cs="Arial"/>
                <w:b/>
                <w:color w:val="auto"/>
                <w:sz w:val="18"/>
                <w:szCs w:val="18"/>
              </w:rPr>
              <w:t>PERIMETRE DEFINI DANS L’AAP</w:t>
            </w:r>
            <w:r w:rsidR="00D81167" w:rsidRPr="002F7EA8">
              <w:rPr>
                <w:rFonts w:cs="Arial"/>
                <w:b/>
                <w:color w:val="auto"/>
                <w:sz w:val="18"/>
                <w:szCs w:val="18"/>
              </w:rPr>
              <w:t xml:space="preserve"> SATT</w:t>
            </w:r>
          </w:p>
        </w:tc>
        <w:tc>
          <w:tcPr>
            <w:tcW w:w="5103" w:type="dxa"/>
          </w:tcPr>
          <w:p w:rsidR="0046264A" w:rsidRPr="002F7EA8" w:rsidRDefault="0046264A" w:rsidP="0046264A">
            <w:pPr>
              <w:ind w:left="0" w:right="-5"/>
              <w:jc w:val="center"/>
              <w:rPr>
                <w:rFonts w:cs="Arial"/>
                <w:b/>
                <w:color w:val="auto"/>
                <w:sz w:val="18"/>
                <w:szCs w:val="18"/>
              </w:rPr>
            </w:pPr>
          </w:p>
          <w:p w:rsidR="00D81167" w:rsidRPr="002F7EA8" w:rsidRDefault="00040BFA" w:rsidP="0046264A">
            <w:pPr>
              <w:ind w:left="0" w:right="-5"/>
              <w:jc w:val="center"/>
              <w:rPr>
                <w:rFonts w:cs="Arial"/>
                <w:b/>
                <w:color w:val="auto"/>
                <w:sz w:val="18"/>
                <w:szCs w:val="18"/>
              </w:rPr>
            </w:pPr>
            <w:r w:rsidRPr="002F7EA8">
              <w:rPr>
                <w:rFonts w:cs="Arial"/>
                <w:b/>
                <w:color w:val="auto"/>
                <w:sz w:val="18"/>
                <w:szCs w:val="18"/>
              </w:rPr>
              <w:t xml:space="preserve">PERIMETRE DEPLOYE PAR </w:t>
            </w:r>
          </w:p>
          <w:p w:rsidR="00040BFA" w:rsidRPr="002F7EA8" w:rsidRDefault="00040BFA" w:rsidP="0046264A">
            <w:pPr>
              <w:ind w:left="0" w:right="-5"/>
              <w:jc w:val="center"/>
              <w:rPr>
                <w:rFonts w:cs="Arial"/>
                <w:b/>
                <w:color w:val="auto"/>
                <w:sz w:val="18"/>
                <w:szCs w:val="18"/>
              </w:rPr>
            </w:pPr>
            <w:r w:rsidRPr="002F7EA8">
              <w:rPr>
                <w:rFonts w:cs="Arial"/>
                <w:b/>
                <w:color w:val="auto"/>
                <w:sz w:val="18"/>
                <w:szCs w:val="18"/>
              </w:rPr>
              <w:t>OUEST VALORISATION</w:t>
            </w:r>
          </w:p>
        </w:tc>
      </w:tr>
      <w:tr w:rsidR="00040BFA" w:rsidRPr="007B7A4B" w:rsidTr="00D81167">
        <w:tc>
          <w:tcPr>
            <w:tcW w:w="4395" w:type="dxa"/>
          </w:tcPr>
          <w:p w:rsidR="00040BFA" w:rsidRPr="00E0538D" w:rsidRDefault="00040BFA" w:rsidP="00495211">
            <w:pPr>
              <w:jc w:val="both"/>
              <w:rPr>
                <w:rFonts w:cs="Arial"/>
                <w:b/>
                <w:color w:val="auto"/>
                <w:sz w:val="18"/>
                <w:szCs w:val="18"/>
              </w:rPr>
            </w:pPr>
          </w:p>
          <w:p w:rsidR="00040BFA" w:rsidRPr="00E0538D" w:rsidRDefault="00D81167" w:rsidP="00D81167">
            <w:pPr>
              <w:ind w:left="34"/>
              <w:jc w:val="center"/>
              <w:rPr>
                <w:rFonts w:cs="Arial"/>
                <w:b/>
                <w:color w:val="auto"/>
                <w:shd w:val="clear" w:color="auto" w:fill="BFBFBF" w:themeFill="background1" w:themeFillShade="BF"/>
              </w:rPr>
            </w:pPr>
            <w:r w:rsidRPr="00E0538D">
              <w:rPr>
                <w:rFonts w:cs="Arial"/>
                <w:b/>
                <w:color w:val="auto"/>
                <w:shd w:val="clear" w:color="auto" w:fill="BFBFBF" w:themeFill="background1" w:themeFillShade="BF"/>
              </w:rPr>
              <w:t>Missions obligatoires</w:t>
            </w:r>
          </w:p>
          <w:p w:rsidR="00040BFA" w:rsidRPr="00E0538D" w:rsidRDefault="00040BFA" w:rsidP="00495211">
            <w:pPr>
              <w:jc w:val="both"/>
              <w:rPr>
                <w:rFonts w:cs="Arial"/>
                <w:b/>
                <w:color w:val="auto"/>
                <w:sz w:val="18"/>
                <w:szCs w:val="18"/>
              </w:rPr>
            </w:pPr>
          </w:p>
          <w:p w:rsidR="00040BFA" w:rsidRPr="00E0538D" w:rsidRDefault="00FB32D5" w:rsidP="00495211">
            <w:pPr>
              <w:pStyle w:val="Paragraphedeliste"/>
              <w:numPr>
                <w:ilvl w:val="0"/>
                <w:numId w:val="1"/>
              </w:numPr>
              <w:ind w:left="284" w:hanging="284"/>
              <w:jc w:val="both"/>
              <w:rPr>
                <w:rFonts w:cs="Arial"/>
                <w:b/>
                <w:color w:val="auto"/>
                <w:sz w:val="18"/>
                <w:szCs w:val="18"/>
              </w:rPr>
            </w:pPr>
            <w:r w:rsidRPr="00E0538D">
              <w:rPr>
                <w:rFonts w:cs="Arial"/>
                <w:b/>
                <w:color w:val="auto"/>
                <w:sz w:val="18"/>
                <w:szCs w:val="18"/>
              </w:rPr>
              <w:t>Au titre du f</w:t>
            </w:r>
            <w:r w:rsidR="00040BFA" w:rsidRPr="00E0538D">
              <w:rPr>
                <w:rFonts w:cs="Arial"/>
                <w:b/>
                <w:color w:val="auto"/>
                <w:sz w:val="18"/>
                <w:szCs w:val="18"/>
              </w:rPr>
              <w:t xml:space="preserve">inancement et </w:t>
            </w:r>
            <w:r w:rsidR="00E0538D" w:rsidRPr="00E0538D">
              <w:rPr>
                <w:rFonts w:cs="Arial"/>
                <w:b/>
                <w:color w:val="auto"/>
                <w:sz w:val="18"/>
                <w:szCs w:val="18"/>
              </w:rPr>
              <w:t>accompagnement de la maturation</w:t>
            </w:r>
          </w:p>
          <w:p w:rsidR="006506E2" w:rsidRPr="00E0538D" w:rsidRDefault="00040BFA" w:rsidP="00D81167">
            <w:pPr>
              <w:spacing w:before="80" w:line="200" w:lineRule="exact"/>
              <w:ind w:left="0"/>
              <w:jc w:val="both"/>
              <w:rPr>
                <w:rFonts w:cs="Arial"/>
                <w:color w:val="auto"/>
                <w:sz w:val="18"/>
                <w:szCs w:val="18"/>
              </w:rPr>
            </w:pPr>
            <w:r w:rsidRPr="00E0538D">
              <w:rPr>
                <w:rFonts w:cs="Arial"/>
                <w:color w:val="auto"/>
                <w:sz w:val="18"/>
                <w:szCs w:val="18"/>
              </w:rPr>
              <w:t>Identifier les projets innovants, les croiser avec les besoins du marché</w:t>
            </w:r>
          </w:p>
          <w:p w:rsidR="00164AEE" w:rsidRPr="00E0538D" w:rsidRDefault="00040BFA" w:rsidP="00524F73">
            <w:pPr>
              <w:spacing w:before="80" w:after="120"/>
              <w:ind w:left="0"/>
              <w:jc w:val="both"/>
              <w:rPr>
                <w:rFonts w:cs="Arial"/>
                <w:color w:val="auto"/>
                <w:sz w:val="18"/>
                <w:szCs w:val="18"/>
              </w:rPr>
            </w:pPr>
            <w:r w:rsidRPr="00E0538D">
              <w:rPr>
                <w:rFonts w:cs="Arial"/>
                <w:color w:val="auto"/>
                <w:sz w:val="18"/>
                <w:szCs w:val="18"/>
              </w:rPr>
              <w:t>Financer la maturation, en assurer le suivi et la commercialisation jusqu’au transfert y compris le licensing</w:t>
            </w:r>
          </w:p>
          <w:p w:rsidR="00164AEE" w:rsidRPr="00E0538D" w:rsidRDefault="00040BFA" w:rsidP="00164AEE">
            <w:pPr>
              <w:spacing w:after="120" w:line="200" w:lineRule="exact"/>
              <w:ind w:left="0"/>
              <w:jc w:val="both"/>
              <w:rPr>
                <w:rFonts w:cs="Arial"/>
                <w:color w:val="auto"/>
                <w:sz w:val="18"/>
                <w:szCs w:val="18"/>
              </w:rPr>
            </w:pPr>
            <w:r w:rsidRPr="00E0538D">
              <w:rPr>
                <w:rFonts w:cs="Arial"/>
                <w:color w:val="auto"/>
                <w:sz w:val="18"/>
                <w:szCs w:val="18"/>
              </w:rPr>
              <w:t>Financer le dépôt, l’entretien, la défense des titres de PI</w:t>
            </w:r>
          </w:p>
          <w:p w:rsidR="00164AEE" w:rsidRPr="00E0538D" w:rsidRDefault="00040BFA" w:rsidP="00164AEE">
            <w:pPr>
              <w:spacing w:after="120" w:line="200" w:lineRule="exact"/>
              <w:ind w:left="0"/>
              <w:jc w:val="both"/>
              <w:rPr>
                <w:rFonts w:cs="Arial"/>
                <w:color w:val="auto"/>
                <w:sz w:val="18"/>
                <w:szCs w:val="18"/>
              </w:rPr>
            </w:pPr>
            <w:r w:rsidRPr="00E0538D">
              <w:rPr>
                <w:rFonts w:cs="Arial"/>
                <w:color w:val="auto"/>
                <w:sz w:val="18"/>
                <w:szCs w:val="18"/>
              </w:rPr>
              <w:t>Faire l’analyse des coûts et bénéfices de ces actions</w:t>
            </w:r>
          </w:p>
          <w:p w:rsidR="00040BFA" w:rsidRPr="00E0538D" w:rsidRDefault="00E0538D" w:rsidP="00524F73">
            <w:pPr>
              <w:spacing w:line="200" w:lineRule="exact"/>
              <w:ind w:left="0"/>
              <w:jc w:val="both"/>
              <w:rPr>
                <w:rFonts w:cs="Arial"/>
                <w:color w:val="auto"/>
                <w:sz w:val="18"/>
                <w:szCs w:val="18"/>
              </w:rPr>
            </w:pPr>
            <w:r w:rsidRPr="00E0538D">
              <w:rPr>
                <w:rFonts w:cs="Arial"/>
                <w:color w:val="auto"/>
                <w:sz w:val="18"/>
                <w:szCs w:val="18"/>
              </w:rPr>
              <w:t xml:space="preserve">En sortie de maturation </w:t>
            </w:r>
            <w:r w:rsidR="00040BFA" w:rsidRPr="00E0538D">
              <w:rPr>
                <w:rFonts w:cs="Arial"/>
                <w:color w:val="auto"/>
                <w:sz w:val="18"/>
                <w:szCs w:val="18"/>
              </w:rPr>
              <w:t>= la SATT peut entrer au capital initial des sociétés en création par apport en nature (vocation à céder sa participation lors des premiers tours de table)</w:t>
            </w:r>
          </w:p>
          <w:p w:rsidR="00040BFA" w:rsidRPr="00E0538D" w:rsidRDefault="00040BFA" w:rsidP="00524F73">
            <w:pPr>
              <w:ind w:left="284" w:hanging="284"/>
              <w:jc w:val="both"/>
              <w:rPr>
                <w:rFonts w:cs="Arial"/>
                <w:color w:val="auto"/>
                <w:sz w:val="18"/>
                <w:szCs w:val="18"/>
              </w:rPr>
            </w:pPr>
          </w:p>
          <w:p w:rsidR="00040BFA" w:rsidRPr="00E0538D" w:rsidRDefault="00FB32D5" w:rsidP="00495211">
            <w:pPr>
              <w:pStyle w:val="Paragraphedeliste"/>
              <w:numPr>
                <w:ilvl w:val="0"/>
                <w:numId w:val="1"/>
              </w:numPr>
              <w:ind w:left="284" w:hanging="284"/>
              <w:jc w:val="both"/>
              <w:rPr>
                <w:rFonts w:cs="Arial"/>
                <w:color w:val="auto"/>
                <w:sz w:val="18"/>
                <w:szCs w:val="18"/>
              </w:rPr>
            </w:pPr>
            <w:r w:rsidRPr="00E0538D">
              <w:rPr>
                <w:rFonts w:cs="Arial"/>
                <w:b/>
                <w:color w:val="auto"/>
                <w:sz w:val="18"/>
                <w:szCs w:val="18"/>
              </w:rPr>
              <w:t>Au titre de p</w:t>
            </w:r>
            <w:r w:rsidR="00040BFA" w:rsidRPr="00E0538D">
              <w:rPr>
                <w:rFonts w:cs="Arial"/>
                <w:b/>
                <w:color w:val="auto"/>
                <w:sz w:val="18"/>
                <w:szCs w:val="18"/>
              </w:rPr>
              <w:t>restations de service</w:t>
            </w:r>
            <w:r w:rsidRPr="00E0538D">
              <w:rPr>
                <w:rFonts w:cs="Arial"/>
                <w:b/>
                <w:color w:val="auto"/>
                <w:sz w:val="18"/>
                <w:szCs w:val="18"/>
              </w:rPr>
              <w:t>s</w:t>
            </w:r>
            <w:r w:rsidR="00F64E13" w:rsidRPr="00E0538D">
              <w:rPr>
                <w:rFonts w:cs="Arial"/>
                <w:b/>
                <w:color w:val="auto"/>
                <w:sz w:val="18"/>
                <w:szCs w:val="18"/>
              </w:rPr>
              <w:t xml:space="preserve"> </w:t>
            </w:r>
          </w:p>
          <w:p w:rsidR="00164AEE" w:rsidRPr="00E0538D" w:rsidRDefault="00040BFA" w:rsidP="00524F73">
            <w:pPr>
              <w:spacing w:before="80" w:line="200" w:lineRule="exact"/>
              <w:ind w:left="0"/>
              <w:jc w:val="both"/>
              <w:rPr>
                <w:rFonts w:cs="Arial"/>
                <w:color w:val="auto"/>
                <w:sz w:val="18"/>
                <w:szCs w:val="18"/>
              </w:rPr>
            </w:pPr>
            <w:r w:rsidRPr="00E0538D">
              <w:rPr>
                <w:rFonts w:cs="Arial"/>
                <w:color w:val="auto"/>
                <w:sz w:val="18"/>
                <w:szCs w:val="18"/>
              </w:rPr>
              <w:t>Détection du potentiel de valorisation et analyse des besoins industriels</w:t>
            </w:r>
          </w:p>
          <w:p w:rsidR="00164AEE" w:rsidRPr="00E0538D" w:rsidRDefault="00040BFA" w:rsidP="00524F73">
            <w:pPr>
              <w:spacing w:before="80" w:after="120"/>
              <w:ind w:left="0"/>
              <w:jc w:val="both"/>
              <w:rPr>
                <w:rFonts w:cs="Arial"/>
                <w:color w:val="auto"/>
                <w:sz w:val="18"/>
                <w:szCs w:val="18"/>
              </w:rPr>
            </w:pPr>
            <w:r w:rsidRPr="00E0538D">
              <w:rPr>
                <w:rFonts w:cs="Arial"/>
                <w:color w:val="auto"/>
                <w:sz w:val="18"/>
                <w:szCs w:val="18"/>
              </w:rPr>
              <w:t>Sensibilisation des acteurs</w:t>
            </w:r>
          </w:p>
          <w:p w:rsidR="00164AEE" w:rsidRPr="00E0538D" w:rsidRDefault="00040BFA" w:rsidP="00E66006">
            <w:pPr>
              <w:spacing w:after="120" w:line="200" w:lineRule="exact"/>
              <w:ind w:left="0"/>
              <w:jc w:val="both"/>
              <w:rPr>
                <w:rFonts w:cs="Arial"/>
                <w:color w:val="auto"/>
                <w:sz w:val="18"/>
                <w:szCs w:val="18"/>
              </w:rPr>
            </w:pPr>
            <w:r w:rsidRPr="00E0538D">
              <w:rPr>
                <w:rFonts w:cs="Arial"/>
                <w:color w:val="auto"/>
                <w:sz w:val="18"/>
                <w:szCs w:val="18"/>
              </w:rPr>
              <w:t>Gestion des titres de PI</w:t>
            </w:r>
            <w:r w:rsidR="005277A7">
              <w:rPr>
                <w:rFonts w:cs="Arial"/>
                <w:color w:val="auto"/>
                <w:sz w:val="18"/>
                <w:szCs w:val="18"/>
              </w:rPr>
              <w:t>- Les actionnaires confient à la SATT la gestion de leur titre de PI dans le cadre d’une licence exclusive</w:t>
            </w:r>
          </w:p>
          <w:p w:rsidR="00164AEE" w:rsidRPr="00E0538D" w:rsidRDefault="00040BFA" w:rsidP="00E66006">
            <w:pPr>
              <w:spacing w:after="120" w:line="200" w:lineRule="exact"/>
              <w:ind w:left="0"/>
              <w:jc w:val="both"/>
              <w:rPr>
                <w:rFonts w:cs="Arial"/>
                <w:color w:val="auto"/>
                <w:sz w:val="18"/>
                <w:szCs w:val="18"/>
              </w:rPr>
            </w:pPr>
            <w:r w:rsidRPr="00E0538D">
              <w:rPr>
                <w:rFonts w:cs="Arial"/>
                <w:color w:val="auto"/>
                <w:sz w:val="18"/>
                <w:szCs w:val="18"/>
              </w:rPr>
              <w:t>Appui à la négociation des contrats de recherche avec des entreprises</w:t>
            </w:r>
          </w:p>
          <w:p w:rsidR="00040BFA" w:rsidRPr="00E0538D" w:rsidRDefault="00040BFA" w:rsidP="00016502">
            <w:pPr>
              <w:spacing w:before="180" w:after="240" w:line="200" w:lineRule="exact"/>
              <w:ind w:left="0"/>
              <w:jc w:val="both"/>
              <w:rPr>
                <w:rFonts w:cs="Arial"/>
                <w:color w:val="auto"/>
                <w:sz w:val="18"/>
                <w:szCs w:val="18"/>
              </w:rPr>
            </w:pPr>
            <w:r w:rsidRPr="00E0538D">
              <w:rPr>
                <w:rFonts w:cs="Arial"/>
                <w:color w:val="auto"/>
                <w:sz w:val="18"/>
                <w:szCs w:val="18"/>
              </w:rPr>
              <w:t>Veille, cartographies de compétences et de moyens, recherche de partenaires</w:t>
            </w:r>
          </w:p>
          <w:p w:rsidR="00040BFA" w:rsidRPr="00E0538D" w:rsidRDefault="00040BFA" w:rsidP="00D81167">
            <w:pPr>
              <w:ind w:left="34"/>
              <w:jc w:val="center"/>
              <w:rPr>
                <w:rFonts w:cs="Arial"/>
                <w:b/>
                <w:color w:val="auto"/>
                <w:shd w:val="clear" w:color="auto" w:fill="BFBFBF" w:themeFill="background1" w:themeFillShade="BF"/>
              </w:rPr>
            </w:pPr>
            <w:r w:rsidRPr="00E0538D">
              <w:rPr>
                <w:rFonts w:cs="Arial"/>
                <w:b/>
                <w:color w:val="auto"/>
                <w:shd w:val="clear" w:color="auto" w:fill="BFBFBF" w:themeFill="background1" w:themeFillShade="BF"/>
              </w:rPr>
              <w:t>Missions</w:t>
            </w:r>
            <w:r w:rsidR="00851A73" w:rsidRPr="00E0538D">
              <w:rPr>
                <w:rFonts w:cs="Arial"/>
                <w:b/>
                <w:color w:val="auto"/>
                <w:shd w:val="clear" w:color="auto" w:fill="BFBFBF" w:themeFill="background1" w:themeFillShade="BF"/>
              </w:rPr>
              <w:t xml:space="preserve"> en option</w:t>
            </w:r>
          </w:p>
          <w:p w:rsidR="00AA6D29" w:rsidRPr="00E0538D" w:rsidRDefault="00495211" w:rsidP="002F7EA8">
            <w:pPr>
              <w:spacing w:before="360"/>
              <w:ind w:left="0"/>
              <w:jc w:val="both"/>
              <w:rPr>
                <w:rFonts w:cs="Arial"/>
                <w:color w:val="auto"/>
                <w:sz w:val="18"/>
                <w:szCs w:val="18"/>
              </w:rPr>
            </w:pPr>
            <w:r w:rsidRPr="00E0538D">
              <w:rPr>
                <w:rFonts w:cs="Arial"/>
                <w:color w:val="auto"/>
                <w:sz w:val="18"/>
                <w:szCs w:val="18"/>
              </w:rPr>
              <w:t>Gestion financière des contrats</w:t>
            </w:r>
          </w:p>
          <w:p w:rsidR="00164AEE" w:rsidRPr="00E0538D" w:rsidRDefault="00040BFA" w:rsidP="002F7EA8">
            <w:pPr>
              <w:spacing w:before="360" w:after="120"/>
              <w:ind w:left="0"/>
              <w:jc w:val="both"/>
              <w:rPr>
                <w:rFonts w:cs="Arial"/>
                <w:color w:val="auto"/>
                <w:sz w:val="18"/>
                <w:szCs w:val="18"/>
              </w:rPr>
            </w:pPr>
            <w:r w:rsidRPr="00E0538D">
              <w:rPr>
                <w:rFonts w:cs="Arial"/>
                <w:color w:val="auto"/>
                <w:sz w:val="18"/>
                <w:szCs w:val="18"/>
              </w:rPr>
              <w:t>Gestion de plateaux techniques e</w:t>
            </w:r>
            <w:r w:rsidR="00495211" w:rsidRPr="00E0538D">
              <w:rPr>
                <w:rFonts w:cs="Arial"/>
                <w:color w:val="auto"/>
                <w:sz w:val="18"/>
                <w:szCs w:val="18"/>
              </w:rPr>
              <w:t>t de plateformes technologiques</w:t>
            </w:r>
          </w:p>
          <w:p w:rsidR="00040BFA" w:rsidRPr="00E0538D" w:rsidRDefault="00040BFA" w:rsidP="00524F73">
            <w:pPr>
              <w:spacing w:before="280" w:after="120"/>
              <w:ind w:left="0"/>
              <w:jc w:val="both"/>
              <w:rPr>
                <w:rFonts w:cs="Arial"/>
                <w:color w:val="auto"/>
                <w:sz w:val="18"/>
                <w:szCs w:val="18"/>
              </w:rPr>
            </w:pPr>
            <w:r w:rsidRPr="00E0538D">
              <w:rPr>
                <w:rFonts w:cs="Arial"/>
                <w:color w:val="auto"/>
                <w:sz w:val="18"/>
                <w:szCs w:val="18"/>
              </w:rPr>
              <w:t>Financement et accompagnement de l’incubation d’entreprises innovantes…</w:t>
            </w:r>
          </w:p>
        </w:tc>
        <w:tc>
          <w:tcPr>
            <w:tcW w:w="5103" w:type="dxa"/>
          </w:tcPr>
          <w:p w:rsidR="00040BFA" w:rsidRPr="00E0538D" w:rsidRDefault="00040BFA" w:rsidP="00943201">
            <w:pPr>
              <w:rPr>
                <w:rFonts w:cs="Arial"/>
                <w:color w:val="auto"/>
                <w:sz w:val="18"/>
                <w:szCs w:val="18"/>
              </w:rPr>
            </w:pPr>
          </w:p>
          <w:p w:rsidR="00040BFA" w:rsidRPr="00E0538D" w:rsidRDefault="00040BFA" w:rsidP="00943201">
            <w:pPr>
              <w:jc w:val="both"/>
              <w:rPr>
                <w:rFonts w:cs="Arial"/>
                <w:color w:val="auto"/>
                <w:sz w:val="18"/>
                <w:szCs w:val="18"/>
              </w:rPr>
            </w:pPr>
          </w:p>
          <w:p w:rsidR="00040BFA" w:rsidRPr="00E0538D" w:rsidRDefault="00040BFA" w:rsidP="00943201">
            <w:pPr>
              <w:jc w:val="both"/>
              <w:rPr>
                <w:rFonts w:cs="Arial"/>
                <w:color w:val="auto"/>
                <w:sz w:val="18"/>
                <w:szCs w:val="18"/>
              </w:rPr>
            </w:pPr>
          </w:p>
          <w:p w:rsidR="00040BFA" w:rsidRPr="00E0538D" w:rsidRDefault="00040BFA" w:rsidP="00943201">
            <w:pPr>
              <w:jc w:val="both"/>
              <w:rPr>
                <w:rFonts w:cs="Arial"/>
                <w:color w:val="auto"/>
                <w:sz w:val="18"/>
                <w:szCs w:val="18"/>
              </w:rPr>
            </w:pPr>
          </w:p>
          <w:p w:rsidR="00524F73" w:rsidRPr="00E0538D" w:rsidRDefault="00524F73" w:rsidP="00D81167">
            <w:pPr>
              <w:spacing w:after="120"/>
              <w:ind w:left="0"/>
              <w:jc w:val="both"/>
              <w:rPr>
                <w:rFonts w:cs="Arial"/>
                <w:color w:val="auto"/>
                <w:sz w:val="18"/>
                <w:szCs w:val="18"/>
              </w:rPr>
            </w:pPr>
          </w:p>
          <w:p w:rsidR="006506E2" w:rsidRPr="00E0538D" w:rsidRDefault="00040BFA" w:rsidP="00524F73">
            <w:pPr>
              <w:spacing w:before="80" w:line="200" w:lineRule="exact"/>
              <w:ind w:left="0"/>
              <w:jc w:val="both"/>
              <w:rPr>
                <w:rFonts w:cs="Arial"/>
                <w:color w:val="auto"/>
                <w:sz w:val="18"/>
                <w:szCs w:val="18"/>
              </w:rPr>
            </w:pPr>
            <w:r w:rsidRPr="00E0538D">
              <w:rPr>
                <w:rFonts w:cs="Arial"/>
                <w:color w:val="auto"/>
                <w:sz w:val="18"/>
                <w:szCs w:val="18"/>
              </w:rPr>
              <w:t>Inclus</w:t>
            </w:r>
            <w:r w:rsidR="00A24772" w:rsidRPr="00E0538D">
              <w:rPr>
                <w:rFonts w:cs="Arial"/>
                <w:color w:val="auto"/>
                <w:sz w:val="18"/>
                <w:szCs w:val="18"/>
              </w:rPr>
              <w:t xml:space="preserve">. OV est un acteur de proximité qui informe et </w:t>
            </w:r>
            <w:r w:rsidR="00C75C99" w:rsidRPr="00E0538D">
              <w:rPr>
                <w:rFonts w:cs="Arial"/>
                <w:color w:val="auto"/>
                <w:sz w:val="18"/>
                <w:szCs w:val="18"/>
              </w:rPr>
              <w:t>conseille</w:t>
            </w:r>
            <w:r w:rsidR="00A24772" w:rsidRPr="00E0538D">
              <w:rPr>
                <w:rFonts w:cs="Arial"/>
                <w:color w:val="auto"/>
                <w:sz w:val="18"/>
                <w:szCs w:val="18"/>
              </w:rPr>
              <w:t xml:space="preserve"> les chercheurs dans leurs démarches de valorisation</w:t>
            </w:r>
          </w:p>
          <w:p w:rsidR="006506E2" w:rsidRPr="00E0538D" w:rsidRDefault="00A24772" w:rsidP="00524F73">
            <w:pPr>
              <w:spacing w:before="80" w:after="120"/>
              <w:ind w:left="0"/>
              <w:jc w:val="both"/>
              <w:rPr>
                <w:rFonts w:cs="Arial"/>
                <w:color w:val="auto"/>
                <w:sz w:val="18"/>
                <w:szCs w:val="18"/>
              </w:rPr>
            </w:pPr>
            <w:r w:rsidRPr="00E0538D">
              <w:rPr>
                <w:rFonts w:cs="Arial"/>
                <w:color w:val="auto"/>
                <w:sz w:val="18"/>
                <w:szCs w:val="18"/>
              </w:rPr>
              <w:t>Inclus</w:t>
            </w:r>
          </w:p>
          <w:p w:rsidR="00D81167" w:rsidRPr="00E0538D" w:rsidRDefault="00D81167" w:rsidP="00524F73">
            <w:pPr>
              <w:spacing w:before="80" w:after="120" w:line="360" w:lineRule="auto"/>
              <w:ind w:left="0"/>
              <w:jc w:val="both"/>
              <w:rPr>
                <w:rFonts w:cs="Arial"/>
                <w:color w:val="auto"/>
                <w:sz w:val="18"/>
                <w:szCs w:val="18"/>
              </w:rPr>
            </w:pPr>
          </w:p>
          <w:p w:rsidR="006506E2" w:rsidRPr="00E0538D" w:rsidRDefault="00040BFA" w:rsidP="002C3E2E">
            <w:pPr>
              <w:spacing w:after="120" w:line="200" w:lineRule="exact"/>
              <w:ind w:left="0"/>
              <w:jc w:val="both"/>
              <w:rPr>
                <w:rFonts w:cs="Arial"/>
                <w:color w:val="auto"/>
                <w:sz w:val="18"/>
                <w:szCs w:val="18"/>
              </w:rPr>
            </w:pPr>
            <w:r w:rsidRPr="00E0538D">
              <w:rPr>
                <w:rFonts w:cs="Arial"/>
                <w:color w:val="auto"/>
                <w:sz w:val="18"/>
                <w:szCs w:val="18"/>
              </w:rPr>
              <w:t>Inclus</w:t>
            </w:r>
          </w:p>
          <w:p w:rsidR="006506E2" w:rsidRPr="00E0538D" w:rsidRDefault="00040BFA" w:rsidP="002C3E2E">
            <w:pPr>
              <w:spacing w:after="120" w:line="200" w:lineRule="exact"/>
              <w:ind w:left="0"/>
              <w:jc w:val="both"/>
              <w:rPr>
                <w:rFonts w:cs="Arial"/>
                <w:color w:val="auto"/>
                <w:sz w:val="18"/>
                <w:szCs w:val="18"/>
              </w:rPr>
            </w:pPr>
            <w:r w:rsidRPr="00E0538D">
              <w:rPr>
                <w:rFonts w:cs="Arial"/>
                <w:color w:val="auto"/>
                <w:sz w:val="18"/>
                <w:szCs w:val="18"/>
              </w:rPr>
              <w:t>Inclus</w:t>
            </w:r>
          </w:p>
          <w:p w:rsidR="006506E2" w:rsidRPr="00E0538D" w:rsidRDefault="00495211" w:rsidP="00524F73">
            <w:pPr>
              <w:spacing w:line="200" w:lineRule="exact"/>
              <w:ind w:left="0"/>
              <w:jc w:val="both"/>
              <w:rPr>
                <w:rFonts w:cs="Arial"/>
                <w:color w:val="auto"/>
                <w:sz w:val="18"/>
                <w:szCs w:val="18"/>
              </w:rPr>
            </w:pPr>
            <w:r w:rsidRPr="00E0538D">
              <w:rPr>
                <w:rFonts w:cs="Arial"/>
                <w:color w:val="auto"/>
                <w:sz w:val="18"/>
                <w:szCs w:val="18"/>
              </w:rPr>
              <w:t>I</w:t>
            </w:r>
            <w:r w:rsidR="00040BFA" w:rsidRPr="00E0538D">
              <w:rPr>
                <w:rFonts w:cs="Arial"/>
                <w:color w:val="auto"/>
                <w:sz w:val="18"/>
                <w:szCs w:val="18"/>
              </w:rPr>
              <w:t>nclus</w:t>
            </w:r>
            <w:r w:rsidR="006B744A" w:rsidRPr="00E0538D">
              <w:rPr>
                <w:rFonts w:cs="Arial"/>
                <w:color w:val="auto"/>
                <w:sz w:val="18"/>
                <w:szCs w:val="18"/>
              </w:rPr>
              <w:t xml:space="preserve"> – L’actionnariat de </w:t>
            </w:r>
            <w:r w:rsidR="00A24772" w:rsidRPr="00E0538D">
              <w:rPr>
                <w:rFonts w:cs="Arial"/>
                <w:color w:val="auto"/>
                <w:sz w:val="18"/>
                <w:szCs w:val="18"/>
              </w:rPr>
              <w:t xml:space="preserve">la SATT </w:t>
            </w:r>
            <w:r w:rsidR="00E0538D" w:rsidRPr="00E0538D">
              <w:rPr>
                <w:rFonts w:cs="Arial"/>
                <w:color w:val="auto"/>
                <w:sz w:val="18"/>
                <w:szCs w:val="18"/>
              </w:rPr>
              <w:t>dans les start-</w:t>
            </w:r>
            <w:r w:rsidR="006B744A" w:rsidRPr="00E0538D">
              <w:rPr>
                <w:rFonts w:cs="Arial"/>
                <w:color w:val="auto"/>
                <w:sz w:val="18"/>
                <w:szCs w:val="18"/>
              </w:rPr>
              <w:t xml:space="preserve">up </w:t>
            </w:r>
            <w:r w:rsidR="00A24772" w:rsidRPr="00E0538D">
              <w:rPr>
                <w:rFonts w:cs="Arial"/>
                <w:color w:val="auto"/>
                <w:sz w:val="18"/>
                <w:szCs w:val="18"/>
              </w:rPr>
              <w:t>peut se cumuler à c</w:t>
            </w:r>
            <w:r w:rsidR="006B744A" w:rsidRPr="00E0538D">
              <w:rPr>
                <w:rFonts w:cs="Arial"/>
                <w:color w:val="auto"/>
                <w:sz w:val="18"/>
                <w:szCs w:val="18"/>
              </w:rPr>
              <w:t xml:space="preserve">elui </w:t>
            </w:r>
            <w:r w:rsidR="00A24772" w:rsidRPr="00E0538D">
              <w:rPr>
                <w:rFonts w:cs="Arial"/>
                <w:color w:val="auto"/>
                <w:sz w:val="18"/>
                <w:szCs w:val="18"/>
              </w:rPr>
              <w:t>des établissements</w:t>
            </w:r>
            <w:r w:rsidR="006B744A" w:rsidRPr="00E0538D">
              <w:rPr>
                <w:rFonts w:cs="Arial"/>
                <w:color w:val="auto"/>
                <w:sz w:val="18"/>
                <w:szCs w:val="18"/>
              </w:rPr>
              <w:t>.</w:t>
            </w:r>
          </w:p>
          <w:p w:rsidR="00AA6D29" w:rsidRPr="00E0538D" w:rsidRDefault="00AA6D29" w:rsidP="00524F73">
            <w:pPr>
              <w:spacing w:line="200" w:lineRule="exact"/>
              <w:ind w:left="0"/>
              <w:jc w:val="both"/>
              <w:rPr>
                <w:rFonts w:cs="Arial"/>
                <w:color w:val="auto"/>
                <w:sz w:val="18"/>
                <w:szCs w:val="18"/>
              </w:rPr>
            </w:pPr>
          </w:p>
          <w:p w:rsidR="00524F73" w:rsidRPr="00E0538D" w:rsidRDefault="00524F73" w:rsidP="00524F73">
            <w:pPr>
              <w:spacing w:line="200" w:lineRule="exact"/>
              <w:ind w:left="0"/>
              <w:jc w:val="both"/>
              <w:rPr>
                <w:rFonts w:cs="Arial"/>
                <w:color w:val="auto"/>
                <w:sz w:val="18"/>
                <w:szCs w:val="18"/>
              </w:rPr>
            </w:pPr>
          </w:p>
          <w:p w:rsidR="00524F73" w:rsidRPr="00E0538D" w:rsidRDefault="00524F73" w:rsidP="00524F73">
            <w:pPr>
              <w:spacing w:line="200" w:lineRule="exact"/>
              <w:ind w:left="0"/>
              <w:jc w:val="both"/>
              <w:rPr>
                <w:rFonts w:cs="Arial"/>
                <w:color w:val="auto"/>
                <w:sz w:val="18"/>
                <w:szCs w:val="18"/>
              </w:rPr>
            </w:pPr>
          </w:p>
          <w:p w:rsidR="00AA6D29" w:rsidRPr="00E0538D" w:rsidRDefault="00AA6D29" w:rsidP="002C3E2E">
            <w:pPr>
              <w:spacing w:after="120" w:line="200" w:lineRule="exact"/>
              <w:ind w:left="0"/>
              <w:jc w:val="both"/>
              <w:rPr>
                <w:rFonts w:cs="Arial"/>
                <w:color w:val="auto"/>
                <w:sz w:val="18"/>
                <w:szCs w:val="18"/>
              </w:rPr>
            </w:pPr>
          </w:p>
          <w:p w:rsidR="006506E2" w:rsidRPr="00E0538D" w:rsidRDefault="00040BFA" w:rsidP="00524F73">
            <w:pPr>
              <w:spacing w:before="80" w:line="200" w:lineRule="exact"/>
              <w:ind w:left="0"/>
              <w:jc w:val="both"/>
              <w:rPr>
                <w:rFonts w:cs="Arial"/>
                <w:color w:val="auto"/>
                <w:sz w:val="18"/>
                <w:szCs w:val="18"/>
              </w:rPr>
            </w:pPr>
            <w:r w:rsidRPr="00E0538D">
              <w:rPr>
                <w:rFonts w:cs="Arial"/>
                <w:color w:val="auto"/>
                <w:sz w:val="18"/>
                <w:szCs w:val="18"/>
              </w:rPr>
              <w:t>Inclus</w:t>
            </w:r>
          </w:p>
          <w:p w:rsidR="006506E2" w:rsidRPr="00E0538D" w:rsidRDefault="00040BFA" w:rsidP="00016502">
            <w:pPr>
              <w:spacing w:before="300" w:after="120" w:line="200" w:lineRule="exact"/>
              <w:ind w:left="0"/>
              <w:jc w:val="both"/>
              <w:rPr>
                <w:rFonts w:cs="Arial"/>
                <w:color w:val="auto"/>
                <w:sz w:val="18"/>
                <w:szCs w:val="18"/>
              </w:rPr>
            </w:pPr>
            <w:r w:rsidRPr="00E0538D">
              <w:rPr>
                <w:rFonts w:cs="Arial"/>
                <w:color w:val="auto"/>
                <w:sz w:val="18"/>
                <w:szCs w:val="18"/>
              </w:rPr>
              <w:t>Inclus</w:t>
            </w:r>
            <w:r w:rsidR="00851A73" w:rsidRPr="00E0538D">
              <w:rPr>
                <w:rFonts w:cs="Arial"/>
                <w:color w:val="auto"/>
                <w:sz w:val="18"/>
                <w:szCs w:val="18"/>
              </w:rPr>
              <w:t xml:space="preserve"> </w:t>
            </w:r>
          </w:p>
          <w:p w:rsidR="006506E2" w:rsidRDefault="00040BFA" w:rsidP="002C3E2E">
            <w:pPr>
              <w:spacing w:after="120" w:line="200" w:lineRule="exact"/>
              <w:ind w:left="0"/>
              <w:jc w:val="both"/>
              <w:rPr>
                <w:rFonts w:cs="Arial"/>
                <w:color w:val="auto"/>
                <w:sz w:val="18"/>
                <w:szCs w:val="18"/>
              </w:rPr>
            </w:pPr>
            <w:r w:rsidRPr="00E0538D">
              <w:rPr>
                <w:rFonts w:cs="Arial"/>
                <w:color w:val="auto"/>
                <w:sz w:val="18"/>
                <w:szCs w:val="18"/>
              </w:rPr>
              <w:t>Inclus</w:t>
            </w:r>
            <w:r w:rsidR="005277A7">
              <w:rPr>
                <w:rFonts w:cs="Arial"/>
                <w:color w:val="auto"/>
                <w:sz w:val="18"/>
                <w:szCs w:val="18"/>
              </w:rPr>
              <w:t xml:space="preserve"> </w:t>
            </w:r>
          </w:p>
          <w:p w:rsidR="005277A7" w:rsidRPr="00E0538D" w:rsidRDefault="005277A7" w:rsidP="002C3E2E">
            <w:pPr>
              <w:spacing w:after="120" w:line="200" w:lineRule="exact"/>
              <w:ind w:left="0"/>
              <w:jc w:val="both"/>
              <w:rPr>
                <w:rFonts w:cs="Arial"/>
                <w:color w:val="auto"/>
                <w:sz w:val="18"/>
                <w:szCs w:val="18"/>
              </w:rPr>
            </w:pPr>
          </w:p>
          <w:p w:rsidR="006506E2" w:rsidRPr="00E0538D" w:rsidRDefault="00040BFA" w:rsidP="00524F73">
            <w:pPr>
              <w:spacing w:after="120" w:line="200" w:lineRule="exact"/>
              <w:ind w:left="0"/>
              <w:jc w:val="both"/>
              <w:rPr>
                <w:rFonts w:cs="Arial"/>
                <w:color w:val="auto"/>
                <w:sz w:val="18"/>
                <w:szCs w:val="18"/>
              </w:rPr>
            </w:pPr>
            <w:r w:rsidRPr="00E0538D">
              <w:rPr>
                <w:rFonts w:cs="Arial"/>
                <w:color w:val="auto"/>
                <w:sz w:val="18"/>
                <w:szCs w:val="18"/>
              </w:rPr>
              <w:t xml:space="preserve">Inclus : Ingénierie des contrats de recherche impliquant des entreprises, rédaction et négociation des contrats et des accords </w:t>
            </w:r>
          </w:p>
          <w:p w:rsidR="00524F73" w:rsidRPr="00E0538D" w:rsidRDefault="00524F73" w:rsidP="00016502">
            <w:pPr>
              <w:spacing w:before="200" w:after="240" w:line="200" w:lineRule="exact"/>
              <w:ind w:left="0"/>
              <w:jc w:val="both"/>
              <w:rPr>
                <w:rFonts w:cs="Arial"/>
                <w:color w:val="auto"/>
                <w:sz w:val="18"/>
                <w:szCs w:val="18"/>
              </w:rPr>
            </w:pPr>
            <w:r w:rsidRPr="00E0538D">
              <w:rPr>
                <w:rFonts w:cs="Arial"/>
                <w:color w:val="auto"/>
                <w:sz w:val="18"/>
                <w:szCs w:val="18"/>
              </w:rPr>
              <w:t>Inclus</w:t>
            </w:r>
          </w:p>
          <w:p w:rsidR="00E0538D" w:rsidRPr="00E0538D" w:rsidRDefault="00E0538D" w:rsidP="00E0538D">
            <w:pPr>
              <w:spacing w:line="200" w:lineRule="exact"/>
              <w:ind w:left="0"/>
              <w:jc w:val="both"/>
              <w:rPr>
                <w:rFonts w:cs="Arial"/>
                <w:color w:val="auto"/>
                <w:sz w:val="18"/>
                <w:szCs w:val="18"/>
              </w:rPr>
            </w:pPr>
          </w:p>
          <w:p w:rsidR="00524F73" w:rsidRPr="00E0538D" w:rsidRDefault="00524F73" w:rsidP="002F7EA8">
            <w:pPr>
              <w:spacing w:before="600" w:after="136"/>
              <w:ind w:left="0"/>
              <w:jc w:val="both"/>
              <w:rPr>
                <w:rFonts w:cs="Arial"/>
                <w:color w:val="auto"/>
                <w:sz w:val="18"/>
                <w:szCs w:val="18"/>
              </w:rPr>
            </w:pPr>
            <w:r w:rsidRPr="00E0538D">
              <w:rPr>
                <w:rFonts w:cs="Arial"/>
                <w:color w:val="auto"/>
                <w:sz w:val="18"/>
                <w:szCs w:val="18"/>
              </w:rPr>
              <w:t>Non considéré. Les établissements et leurs fil</w:t>
            </w:r>
            <w:r w:rsidR="002F7EA8">
              <w:rPr>
                <w:rFonts w:cs="Arial"/>
                <w:color w:val="auto"/>
                <w:sz w:val="18"/>
                <w:szCs w:val="18"/>
              </w:rPr>
              <w:t>iales conservent cette activité</w:t>
            </w:r>
          </w:p>
          <w:p w:rsidR="00524F73" w:rsidRPr="00E0538D" w:rsidRDefault="00524F73" w:rsidP="002F7EA8">
            <w:pPr>
              <w:spacing w:after="120" w:line="200" w:lineRule="exact"/>
              <w:ind w:left="0"/>
              <w:jc w:val="both"/>
              <w:rPr>
                <w:rFonts w:cs="Arial"/>
                <w:color w:val="auto"/>
                <w:sz w:val="18"/>
                <w:szCs w:val="18"/>
              </w:rPr>
            </w:pPr>
            <w:r w:rsidRPr="00E0538D">
              <w:rPr>
                <w:rFonts w:cs="Arial"/>
                <w:color w:val="auto"/>
                <w:sz w:val="18"/>
                <w:szCs w:val="18"/>
              </w:rPr>
              <w:t>Non considéré. OV assure par contre un appui sur l’ingénierie d’accompagnement des plateformes : business unit et commercialisation de leurs activités</w:t>
            </w:r>
          </w:p>
          <w:p w:rsidR="00040BFA" w:rsidRPr="00E0538D" w:rsidRDefault="00851A73" w:rsidP="004176F3">
            <w:pPr>
              <w:spacing w:before="40" w:after="120" w:line="200" w:lineRule="exact"/>
              <w:ind w:left="0"/>
              <w:jc w:val="both"/>
              <w:rPr>
                <w:rFonts w:cs="Arial"/>
                <w:color w:val="auto"/>
                <w:sz w:val="18"/>
                <w:szCs w:val="18"/>
              </w:rPr>
            </w:pPr>
            <w:r w:rsidRPr="00E0538D">
              <w:rPr>
                <w:rFonts w:cs="Arial"/>
                <w:color w:val="auto"/>
                <w:sz w:val="18"/>
                <w:szCs w:val="18"/>
              </w:rPr>
              <w:t xml:space="preserve">La SATT ne fait pas d’incubation, mais accompagne les porteurs </w:t>
            </w:r>
            <w:r w:rsidR="00040BFA" w:rsidRPr="00E0538D">
              <w:rPr>
                <w:rFonts w:cs="Arial"/>
                <w:color w:val="auto"/>
                <w:sz w:val="18"/>
                <w:szCs w:val="18"/>
              </w:rPr>
              <w:t xml:space="preserve">au montage des dossiers </w:t>
            </w:r>
            <w:r w:rsidRPr="00E0538D">
              <w:rPr>
                <w:rFonts w:cs="Arial"/>
                <w:color w:val="auto"/>
                <w:sz w:val="18"/>
                <w:szCs w:val="18"/>
              </w:rPr>
              <w:t>et assure un suivi des entreprises créées.</w:t>
            </w:r>
          </w:p>
        </w:tc>
      </w:tr>
    </w:tbl>
    <w:p w:rsidR="008B3C66" w:rsidRPr="00F23F7A" w:rsidRDefault="008B3C66" w:rsidP="00E0538D">
      <w:pPr>
        <w:tabs>
          <w:tab w:val="left" w:pos="7004"/>
        </w:tabs>
        <w:spacing w:after="0" w:line="240" w:lineRule="auto"/>
        <w:rPr>
          <w:b/>
          <w:bCs/>
        </w:rPr>
      </w:pPr>
    </w:p>
    <w:p w:rsidR="00A24772" w:rsidRPr="00FD7D41" w:rsidRDefault="00A24772" w:rsidP="005060F4">
      <w:pPr>
        <w:pStyle w:val="Paragraphedeliste"/>
        <w:numPr>
          <w:ilvl w:val="0"/>
          <w:numId w:val="11"/>
        </w:numPr>
        <w:spacing w:afterLines="40" w:line="240" w:lineRule="auto"/>
        <w:ind w:left="1985" w:hanging="284"/>
        <w:jc w:val="both"/>
        <w:rPr>
          <w:rFonts w:cs="Arial"/>
          <w:color w:val="auto"/>
        </w:rPr>
      </w:pPr>
      <w:r w:rsidRPr="00FD7D41">
        <w:rPr>
          <w:rFonts w:cs="Arial"/>
          <w:color w:val="auto"/>
        </w:rPr>
        <w:t>Projets européens</w:t>
      </w:r>
    </w:p>
    <w:p w:rsidR="003424D4" w:rsidRPr="00FD7D41" w:rsidRDefault="009C29CB" w:rsidP="005060F4">
      <w:pPr>
        <w:spacing w:afterLines="40" w:line="240" w:lineRule="auto"/>
        <w:ind w:left="1701"/>
        <w:jc w:val="both"/>
        <w:rPr>
          <w:noProof/>
          <w:color w:val="auto"/>
          <w:lang w:eastAsia="fr-FR"/>
        </w:rPr>
      </w:pPr>
      <w:r>
        <w:rPr>
          <w:noProof/>
          <w:color w:val="auto"/>
          <w:lang w:eastAsia="fr-FR"/>
        </w:rPr>
        <w:t>L’UNAM et les établissements ligériens étudient actuellement la possibilité d’intégrer cette activité dès le démarrage de la SATT ou dans un délai à court terme.</w:t>
      </w:r>
    </w:p>
    <w:p w:rsidR="008B3C66" w:rsidRPr="00FD7D41" w:rsidRDefault="008B3C66" w:rsidP="000F7990">
      <w:pPr>
        <w:pStyle w:val="Paragraphedeliste"/>
        <w:numPr>
          <w:ilvl w:val="0"/>
          <w:numId w:val="11"/>
        </w:numPr>
        <w:spacing w:after="40" w:line="240" w:lineRule="auto"/>
        <w:ind w:left="1985" w:hanging="284"/>
        <w:jc w:val="both"/>
        <w:rPr>
          <w:rFonts w:cs="Arial"/>
          <w:color w:val="auto"/>
        </w:rPr>
      </w:pPr>
      <w:r w:rsidRPr="00FD7D41">
        <w:rPr>
          <w:rFonts w:cs="Arial"/>
          <w:color w:val="auto"/>
        </w:rPr>
        <w:t>Incubation</w:t>
      </w:r>
    </w:p>
    <w:p w:rsidR="008B3C66" w:rsidRPr="00FD7D41" w:rsidRDefault="008B3C66" w:rsidP="000F7990">
      <w:pPr>
        <w:spacing w:after="40" w:line="240" w:lineRule="auto"/>
        <w:ind w:left="1701"/>
        <w:jc w:val="both"/>
        <w:rPr>
          <w:noProof/>
          <w:color w:val="auto"/>
          <w:lang w:eastAsia="fr-FR"/>
        </w:rPr>
      </w:pPr>
      <w:r w:rsidRPr="00FD7D41">
        <w:rPr>
          <w:noProof/>
          <w:color w:val="auto"/>
          <w:lang w:eastAsia="fr-FR"/>
        </w:rPr>
        <w:t>Les Pays de la Loire et la Bretagne disposent déjà de structures compétentes en matière d’incubation. En harmonie avec cet environnement, Ouest Valorisation n’interviendra pas sur cette activité.</w:t>
      </w:r>
    </w:p>
    <w:p w:rsidR="008B3C66" w:rsidRPr="00FD7D41" w:rsidRDefault="008B3C66" w:rsidP="000F7990">
      <w:pPr>
        <w:spacing w:after="40" w:line="240" w:lineRule="auto"/>
        <w:ind w:left="1701"/>
        <w:jc w:val="both"/>
        <w:rPr>
          <w:noProof/>
          <w:color w:val="auto"/>
          <w:lang w:eastAsia="fr-FR"/>
        </w:rPr>
      </w:pPr>
      <w:r w:rsidRPr="00FD7D41">
        <w:rPr>
          <w:noProof/>
          <w:color w:val="auto"/>
          <w:lang w:eastAsia="fr-FR"/>
        </w:rPr>
        <w:t xml:space="preserve">La SATT s’attachera par contre à </w:t>
      </w:r>
      <w:r w:rsidR="00A24772" w:rsidRPr="00FD7D41">
        <w:rPr>
          <w:noProof/>
          <w:color w:val="auto"/>
          <w:lang w:eastAsia="fr-FR"/>
        </w:rPr>
        <w:t>accroître quantitativement et qualitativement</w:t>
      </w:r>
      <w:r w:rsidRPr="00FD7D41">
        <w:rPr>
          <w:noProof/>
          <w:color w:val="auto"/>
          <w:lang w:eastAsia="fr-FR"/>
        </w:rPr>
        <w:t xml:space="preserve"> la détection et des innovations, </w:t>
      </w:r>
      <w:r w:rsidR="00A24772" w:rsidRPr="00FD7D41">
        <w:rPr>
          <w:noProof/>
          <w:color w:val="auto"/>
          <w:lang w:eastAsia="fr-FR"/>
        </w:rPr>
        <w:t>de façon à créer un effet de levier sur la création.</w:t>
      </w:r>
    </w:p>
    <w:p w:rsidR="000F7990" w:rsidRPr="00FD7D41" w:rsidRDefault="008B3C66" w:rsidP="000F7990">
      <w:pPr>
        <w:spacing w:after="40" w:line="240" w:lineRule="auto"/>
        <w:ind w:left="1701"/>
        <w:jc w:val="both"/>
        <w:rPr>
          <w:noProof/>
          <w:color w:val="auto"/>
          <w:lang w:eastAsia="fr-FR"/>
        </w:rPr>
      </w:pPr>
      <w:r w:rsidRPr="00FD7D41">
        <w:rPr>
          <w:noProof/>
          <w:color w:val="auto"/>
          <w:lang w:eastAsia="fr-FR"/>
        </w:rPr>
        <w:t xml:space="preserve">Des modalités renforcées de collaboration avec les </w:t>
      </w:r>
      <w:r w:rsidR="00A24772" w:rsidRPr="00FD7D41">
        <w:rPr>
          <w:noProof/>
          <w:color w:val="auto"/>
          <w:lang w:eastAsia="fr-FR"/>
        </w:rPr>
        <w:t>incubateurs</w:t>
      </w:r>
      <w:r w:rsidRPr="00FD7D41">
        <w:rPr>
          <w:noProof/>
          <w:color w:val="auto"/>
          <w:lang w:eastAsia="fr-FR"/>
        </w:rPr>
        <w:t xml:space="preserve"> </w:t>
      </w:r>
      <w:r w:rsidR="00A24772" w:rsidRPr="00FD7D41">
        <w:rPr>
          <w:noProof/>
          <w:color w:val="auto"/>
          <w:lang w:eastAsia="fr-FR"/>
        </w:rPr>
        <w:t>des deux</w:t>
      </w:r>
      <w:r w:rsidRPr="00FD7D41">
        <w:rPr>
          <w:noProof/>
          <w:color w:val="auto"/>
          <w:lang w:eastAsia="fr-FR"/>
        </w:rPr>
        <w:t xml:space="preserve"> régions vont être formalisées.</w:t>
      </w:r>
    </w:p>
    <w:p w:rsidR="000F7990" w:rsidRPr="00FD7D41" w:rsidRDefault="000F7990">
      <w:pPr>
        <w:rPr>
          <w:noProof/>
          <w:color w:val="auto"/>
          <w:lang w:eastAsia="fr-FR"/>
        </w:rPr>
      </w:pPr>
      <w:r w:rsidRPr="00FD7D41">
        <w:rPr>
          <w:noProof/>
          <w:color w:val="auto"/>
          <w:lang w:eastAsia="fr-FR"/>
        </w:rPr>
        <w:br w:type="page"/>
      </w:r>
    </w:p>
    <w:p w:rsidR="008B3C66" w:rsidRPr="00FD7D41" w:rsidRDefault="008B3C66" w:rsidP="005060F4">
      <w:pPr>
        <w:pStyle w:val="Paragraphedeliste"/>
        <w:numPr>
          <w:ilvl w:val="0"/>
          <w:numId w:val="11"/>
        </w:numPr>
        <w:spacing w:afterLines="40" w:line="240" w:lineRule="auto"/>
        <w:ind w:left="1985" w:hanging="284"/>
        <w:jc w:val="both"/>
        <w:rPr>
          <w:rFonts w:cs="Arial"/>
          <w:color w:val="auto"/>
        </w:rPr>
      </w:pPr>
      <w:r w:rsidRPr="00FD7D41">
        <w:rPr>
          <w:rFonts w:cs="Arial"/>
          <w:color w:val="auto"/>
        </w:rPr>
        <w:lastRenderedPageBreak/>
        <w:t xml:space="preserve">Consultance et expertise </w:t>
      </w:r>
    </w:p>
    <w:p w:rsidR="008B3C66" w:rsidRPr="00FD7D41" w:rsidRDefault="008B3C66" w:rsidP="00044E87">
      <w:pPr>
        <w:spacing w:after="40" w:line="240" w:lineRule="auto"/>
        <w:ind w:left="1701"/>
        <w:jc w:val="both"/>
        <w:rPr>
          <w:noProof/>
          <w:color w:val="auto"/>
          <w:lang w:eastAsia="fr-FR"/>
        </w:rPr>
      </w:pPr>
      <w:r w:rsidRPr="00FD7D41">
        <w:rPr>
          <w:noProof/>
          <w:color w:val="auto"/>
          <w:lang w:eastAsia="fr-FR"/>
        </w:rPr>
        <w:t>Une offre spécifique en matière de consultance pourra être déployée dans le cadre des activités de prest</w:t>
      </w:r>
      <w:r w:rsidR="00095076" w:rsidRPr="00FD7D41">
        <w:rPr>
          <w:noProof/>
          <w:color w:val="auto"/>
          <w:lang w:eastAsia="fr-FR"/>
        </w:rPr>
        <w:t xml:space="preserve">ations de services de la SATT. </w:t>
      </w:r>
    </w:p>
    <w:p w:rsidR="008B3C66" w:rsidRPr="000F7990" w:rsidRDefault="008B3C66" w:rsidP="00044E87">
      <w:pPr>
        <w:spacing w:before="80" w:after="40" w:line="240" w:lineRule="auto"/>
        <w:ind w:left="0"/>
        <w:rPr>
          <w:rFonts w:cs="Arial"/>
          <w:b/>
        </w:rPr>
      </w:pPr>
      <w:r w:rsidRPr="000F7990">
        <w:rPr>
          <w:rFonts w:cs="Arial"/>
          <w:b/>
        </w:rPr>
        <w:t xml:space="preserve">Articulation avec les autres projets </w:t>
      </w:r>
      <w:r w:rsidR="002A11FA">
        <w:rPr>
          <w:rFonts w:cs="Arial"/>
          <w:b/>
        </w:rPr>
        <w:t>Investissements d’Avenir</w:t>
      </w:r>
    </w:p>
    <w:p w:rsidR="00A24772" w:rsidRPr="00FD7D41" w:rsidRDefault="00B622A5" w:rsidP="00044E87">
      <w:pPr>
        <w:spacing w:before="80" w:after="40" w:line="240" w:lineRule="auto"/>
        <w:ind w:left="1701"/>
        <w:jc w:val="both"/>
        <w:rPr>
          <w:noProof/>
          <w:color w:val="auto"/>
          <w:lang w:eastAsia="fr-FR"/>
        </w:rPr>
      </w:pPr>
      <w:r w:rsidRPr="00FD7D41">
        <w:rPr>
          <w:noProof/>
          <w:color w:val="auto"/>
          <w:lang w:eastAsia="fr-FR"/>
        </w:rPr>
        <w:t xml:space="preserve">Les différents projets </w:t>
      </w:r>
      <w:r w:rsidR="002A11FA">
        <w:rPr>
          <w:noProof/>
          <w:color w:val="auto"/>
          <w:lang w:eastAsia="fr-FR"/>
        </w:rPr>
        <w:t xml:space="preserve">inclus dans le périmètre d’Ouest Valorisation </w:t>
      </w:r>
      <w:r w:rsidRPr="00FD7D41">
        <w:rPr>
          <w:noProof/>
          <w:color w:val="auto"/>
          <w:lang w:eastAsia="fr-FR"/>
        </w:rPr>
        <w:t xml:space="preserve">vont pouvoir s’appuyer sur </w:t>
      </w:r>
      <w:r w:rsidR="002A11FA">
        <w:rPr>
          <w:noProof/>
          <w:color w:val="auto"/>
          <w:lang w:eastAsia="fr-FR"/>
        </w:rPr>
        <w:t>ses</w:t>
      </w:r>
      <w:r w:rsidRPr="00FD7D41">
        <w:rPr>
          <w:noProof/>
          <w:color w:val="auto"/>
          <w:lang w:eastAsia="fr-FR"/>
        </w:rPr>
        <w:t xml:space="preserve"> compétences et </w:t>
      </w:r>
      <w:r w:rsidR="002A11FA">
        <w:rPr>
          <w:noProof/>
          <w:color w:val="auto"/>
          <w:lang w:eastAsia="fr-FR"/>
        </w:rPr>
        <w:t>ses</w:t>
      </w:r>
      <w:r w:rsidR="00095076" w:rsidRPr="00FD7D41">
        <w:rPr>
          <w:noProof/>
          <w:color w:val="auto"/>
          <w:lang w:eastAsia="fr-FR"/>
        </w:rPr>
        <w:t xml:space="preserve"> </w:t>
      </w:r>
      <w:r w:rsidRPr="00FD7D41">
        <w:rPr>
          <w:noProof/>
          <w:color w:val="auto"/>
          <w:lang w:eastAsia="fr-FR"/>
        </w:rPr>
        <w:t xml:space="preserve">ressources. </w:t>
      </w:r>
      <w:r w:rsidR="00095076" w:rsidRPr="00FD7D41">
        <w:rPr>
          <w:noProof/>
          <w:color w:val="auto"/>
          <w:lang w:eastAsia="fr-FR"/>
        </w:rPr>
        <w:t>Les modalités et le champ d’intervention sont à définir de façon spécifique pour chaque projet.</w:t>
      </w:r>
    </w:p>
    <w:p w:rsidR="008B3C66" w:rsidRPr="00044E87" w:rsidRDefault="008B3C66" w:rsidP="00044E87">
      <w:pPr>
        <w:spacing w:before="80" w:after="40" w:line="240" w:lineRule="auto"/>
        <w:ind w:left="0"/>
        <w:rPr>
          <w:rFonts w:cs="Arial"/>
          <w:b/>
        </w:rPr>
      </w:pPr>
      <w:r w:rsidRPr="00044E87">
        <w:rPr>
          <w:rFonts w:cs="Arial"/>
          <w:b/>
        </w:rPr>
        <w:t>Ouest Valorisation et les organismes nationaux et leurs filiales</w:t>
      </w:r>
    </w:p>
    <w:p w:rsidR="008B3C66" w:rsidRPr="00FD7D41" w:rsidRDefault="00095076" w:rsidP="00044E87">
      <w:pPr>
        <w:spacing w:before="80" w:after="40" w:line="240" w:lineRule="auto"/>
        <w:ind w:left="1701"/>
        <w:jc w:val="both"/>
        <w:rPr>
          <w:noProof/>
          <w:color w:val="auto"/>
          <w:lang w:eastAsia="fr-FR"/>
        </w:rPr>
      </w:pPr>
      <w:r w:rsidRPr="00FD7D41">
        <w:rPr>
          <w:noProof/>
          <w:color w:val="auto"/>
          <w:lang w:eastAsia="fr-FR"/>
        </w:rPr>
        <w:t xml:space="preserve">Pour le CNRS, </w:t>
      </w:r>
      <w:r w:rsidR="008B3C66" w:rsidRPr="00FD7D41">
        <w:rPr>
          <w:noProof/>
          <w:color w:val="auto"/>
          <w:lang w:eastAsia="fr-FR"/>
        </w:rPr>
        <w:t>Michel M</w:t>
      </w:r>
      <w:r w:rsidRPr="00FD7D41">
        <w:rPr>
          <w:noProof/>
          <w:color w:val="auto"/>
          <w:lang w:eastAsia="fr-FR"/>
        </w:rPr>
        <w:t xml:space="preserve">ORTIER - </w:t>
      </w:r>
      <w:r w:rsidR="00B622A5" w:rsidRPr="00FD7D41">
        <w:rPr>
          <w:noProof/>
          <w:color w:val="auto"/>
          <w:lang w:eastAsia="fr-FR"/>
        </w:rPr>
        <w:t xml:space="preserve">chargé de mission SATT - </w:t>
      </w:r>
      <w:r w:rsidR="008B3C66" w:rsidRPr="00FD7D41">
        <w:rPr>
          <w:noProof/>
          <w:color w:val="auto"/>
          <w:lang w:eastAsia="fr-FR"/>
        </w:rPr>
        <w:t xml:space="preserve">a exprimé lundi 20/09/2010 aux partenaires bretons et </w:t>
      </w:r>
      <w:r w:rsidR="00A24772" w:rsidRPr="00FD7D41">
        <w:rPr>
          <w:noProof/>
          <w:color w:val="auto"/>
          <w:lang w:eastAsia="fr-FR"/>
        </w:rPr>
        <w:t xml:space="preserve">ligériens d’Ouest Valorisation </w:t>
      </w:r>
      <w:r w:rsidR="00731041" w:rsidRPr="00FD7D41">
        <w:rPr>
          <w:noProof/>
          <w:color w:val="auto"/>
          <w:lang w:eastAsia="fr-FR"/>
        </w:rPr>
        <w:t>la</w:t>
      </w:r>
      <w:r w:rsidR="008B3C66" w:rsidRPr="00FD7D41">
        <w:rPr>
          <w:noProof/>
          <w:color w:val="auto"/>
          <w:lang w:eastAsia="fr-FR"/>
        </w:rPr>
        <w:t xml:space="preserve"> volonté </w:t>
      </w:r>
      <w:r w:rsidR="00731041" w:rsidRPr="00FD7D41">
        <w:rPr>
          <w:noProof/>
          <w:color w:val="auto"/>
          <w:lang w:eastAsia="fr-FR"/>
        </w:rPr>
        <w:t>de</w:t>
      </w:r>
      <w:r w:rsidR="008B3C66" w:rsidRPr="00FD7D41">
        <w:rPr>
          <w:noProof/>
          <w:color w:val="auto"/>
          <w:lang w:eastAsia="fr-FR"/>
        </w:rPr>
        <w:t xml:space="preserve"> participer de façon significative aux SATT. Le niveau d’engagement au capital et les modalités de transfert de moyens n’ont pas encore été </w:t>
      </w:r>
      <w:r w:rsidR="00A24772" w:rsidRPr="00FD7D41">
        <w:rPr>
          <w:noProof/>
          <w:color w:val="auto"/>
          <w:lang w:eastAsia="fr-FR"/>
        </w:rPr>
        <w:t>précisés</w:t>
      </w:r>
      <w:r w:rsidR="008B3C66" w:rsidRPr="00FD7D41">
        <w:rPr>
          <w:noProof/>
          <w:color w:val="auto"/>
          <w:lang w:eastAsia="fr-FR"/>
        </w:rPr>
        <w:t>.</w:t>
      </w:r>
    </w:p>
    <w:p w:rsidR="00B622A5" w:rsidRPr="00FD7D41" w:rsidRDefault="008B3C66" w:rsidP="00044E87">
      <w:pPr>
        <w:spacing w:after="40" w:line="240" w:lineRule="auto"/>
        <w:ind w:left="1701"/>
        <w:jc w:val="both"/>
        <w:rPr>
          <w:noProof/>
          <w:color w:val="auto"/>
          <w:lang w:eastAsia="fr-FR"/>
        </w:rPr>
      </w:pPr>
      <w:r w:rsidRPr="00FD7D41">
        <w:rPr>
          <w:noProof/>
          <w:color w:val="auto"/>
          <w:lang w:eastAsia="fr-FR"/>
        </w:rPr>
        <w:t xml:space="preserve">L’INRA </w:t>
      </w:r>
      <w:r w:rsidR="00A24772" w:rsidRPr="00FD7D41">
        <w:rPr>
          <w:noProof/>
          <w:color w:val="auto"/>
          <w:lang w:eastAsia="fr-FR"/>
        </w:rPr>
        <w:t xml:space="preserve">de son côté </w:t>
      </w:r>
      <w:r w:rsidRPr="00FD7D41">
        <w:rPr>
          <w:noProof/>
          <w:color w:val="auto"/>
          <w:lang w:eastAsia="fr-FR"/>
        </w:rPr>
        <w:t>a inform</w:t>
      </w:r>
      <w:r w:rsidR="00095076" w:rsidRPr="00FD7D41">
        <w:rPr>
          <w:noProof/>
          <w:color w:val="auto"/>
          <w:lang w:eastAsia="fr-FR"/>
        </w:rPr>
        <w:t>é qu’il n’entrerait pas dans les SATT</w:t>
      </w:r>
      <w:r w:rsidR="001B5819" w:rsidRPr="00FD7D41">
        <w:rPr>
          <w:noProof/>
          <w:color w:val="auto"/>
          <w:lang w:eastAsia="fr-FR"/>
        </w:rPr>
        <w:t>.</w:t>
      </w:r>
    </w:p>
    <w:p w:rsidR="008B3C66" w:rsidRPr="00FD7D41" w:rsidRDefault="00A24772" w:rsidP="00044E87">
      <w:pPr>
        <w:spacing w:after="40" w:line="240" w:lineRule="auto"/>
        <w:ind w:left="1701"/>
        <w:jc w:val="both"/>
        <w:rPr>
          <w:noProof/>
          <w:color w:val="auto"/>
          <w:lang w:eastAsia="fr-FR"/>
        </w:rPr>
      </w:pPr>
      <w:r w:rsidRPr="00FD7D41">
        <w:rPr>
          <w:noProof/>
          <w:color w:val="auto"/>
          <w:lang w:eastAsia="fr-FR"/>
        </w:rPr>
        <w:t>L</w:t>
      </w:r>
      <w:r w:rsidR="008B3C66" w:rsidRPr="00FD7D41">
        <w:rPr>
          <w:noProof/>
          <w:color w:val="auto"/>
          <w:lang w:eastAsia="fr-FR"/>
        </w:rPr>
        <w:t>a position des autres organismes reste à clarifier.</w:t>
      </w:r>
    </w:p>
    <w:p w:rsidR="00B622A5" w:rsidRPr="00044E87" w:rsidRDefault="00B622A5" w:rsidP="00044E87">
      <w:pPr>
        <w:spacing w:before="80" w:after="40" w:line="240" w:lineRule="auto"/>
        <w:ind w:left="0"/>
        <w:rPr>
          <w:rFonts w:cs="Arial"/>
          <w:b/>
        </w:rPr>
      </w:pPr>
      <w:r w:rsidRPr="00044E87">
        <w:rPr>
          <w:rFonts w:cs="Arial"/>
          <w:b/>
        </w:rPr>
        <w:t>Organisation pour le montage du dossier</w:t>
      </w:r>
    </w:p>
    <w:p w:rsidR="0041345C" w:rsidRPr="00FD7D41" w:rsidRDefault="00940C08" w:rsidP="00044E87">
      <w:pPr>
        <w:spacing w:before="80" w:after="40" w:line="240" w:lineRule="auto"/>
        <w:ind w:left="1701"/>
        <w:jc w:val="both"/>
        <w:rPr>
          <w:noProof/>
          <w:color w:val="auto"/>
          <w:lang w:eastAsia="fr-FR"/>
        </w:rPr>
      </w:pPr>
      <w:r w:rsidRPr="00FD7D41">
        <w:rPr>
          <w:noProof/>
          <w:color w:val="auto"/>
          <w:lang w:eastAsia="fr-FR"/>
        </w:rPr>
        <w:t>U</w:t>
      </w:r>
      <w:r w:rsidR="00B622A5" w:rsidRPr="00FD7D41">
        <w:rPr>
          <w:noProof/>
          <w:color w:val="auto"/>
          <w:lang w:eastAsia="fr-FR"/>
        </w:rPr>
        <w:t>n calendrier de tra</w:t>
      </w:r>
      <w:r w:rsidR="001B5819" w:rsidRPr="00FD7D41">
        <w:rPr>
          <w:noProof/>
          <w:color w:val="auto"/>
          <w:lang w:eastAsia="fr-FR"/>
        </w:rPr>
        <w:t>vail resséré des équipes bretonnes et ligériennes a été mis en place, avec des points d’étapes hebdomadaires.</w:t>
      </w:r>
      <w:r w:rsidR="0041345C" w:rsidRPr="00FD7D41">
        <w:rPr>
          <w:noProof/>
          <w:color w:val="auto"/>
          <w:lang w:eastAsia="fr-FR"/>
        </w:rPr>
        <w:t xml:space="preserve"> Les axes prioritaires </w:t>
      </w:r>
      <w:r w:rsidR="00F442D8" w:rsidRPr="00FD7D41">
        <w:rPr>
          <w:noProof/>
          <w:color w:val="auto"/>
          <w:lang w:eastAsia="fr-FR"/>
        </w:rPr>
        <w:t>à définir sont</w:t>
      </w:r>
      <w:r w:rsidR="0041345C" w:rsidRPr="00FD7D41">
        <w:rPr>
          <w:noProof/>
          <w:color w:val="auto"/>
          <w:lang w:eastAsia="fr-FR"/>
        </w:rPr>
        <w:t xml:space="preserve">  :</w:t>
      </w:r>
    </w:p>
    <w:p w:rsidR="0041345C"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l</w:t>
      </w:r>
      <w:r w:rsidR="0041345C" w:rsidRPr="00FD7D41">
        <w:rPr>
          <w:rFonts w:cs="Arial"/>
          <w:color w:val="auto"/>
        </w:rPr>
        <w:t xml:space="preserve">a gouvernance, l’actionnariat, </w:t>
      </w:r>
      <w:r w:rsidR="00F442D8" w:rsidRPr="00FD7D41">
        <w:rPr>
          <w:rFonts w:cs="Arial"/>
          <w:color w:val="auto"/>
        </w:rPr>
        <w:t>les critères</w:t>
      </w:r>
      <w:r w:rsidR="0041345C" w:rsidRPr="00FD7D41">
        <w:rPr>
          <w:rFonts w:cs="Arial"/>
          <w:color w:val="auto"/>
        </w:rPr>
        <w:t xml:space="preserve"> des décisions</w:t>
      </w:r>
      <w:r>
        <w:rPr>
          <w:rFonts w:cs="Arial"/>
          <w:color w:val="auto"/>
        </w:rPr>
        <w:t> ;</w:t>
      </w:r>
    </w:p>
    <w:p w:rsidR="0041345C"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l</w:t>
      </w:r>
      <w:r w:rsidR="0041345C" w:rsidRPr="00FD7D41">
        <w:rPr>
          <w:rFonts w:cs="Arial"/>
          <w:color w:val="auto"/>
        </w:rPr>
        <w:t>es règles et processus d’engagement du fonds de maturation</w:t>
      </w:r>
      <w:r>
        <w:rPr>
          <w:rFonts w:cs="Arial"/>
          <w:color w:val="auto"/>
        </w:rPr>
        <w:t> ;</w:t>
      </w:r>
    </w:p>
    <w:p w:rsidR="0041345C"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l</w:t>
      </w:r>
      <w:r w:rsidR="0041345C" w:rsidRPr="00FD7D41">
        <w:rPr>
          <w:rFonts w:cs="Arial"/>
          <w:color w:val="auto"/>
        </w:rPr>
        <w:t>’organisation fonctionnelle et territoriale</w:t>
      </w:r>
      <w:r>
        <w:rPr>
          <w:rFonts w:cs="Arial"/>
          <w:color w:val="auto"/>
        </w:rPr>
        <w:t> ;</w:t>
      </w:r>
    </w:p>
    <w:p w:rsidR="0041345C"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l</w:t>
      </w:r>
      <w:r w:rsidR="0041345C" w:rsidRPr="00FD7D41">
        <w:rPr>
          <w:rFonts w:cs="Arial"/>
          <w:color w:val="auto"/>
        </w:rPr>
        <w:t>a stratégie d’Ouest Valorisation (identification de domaines / marchés d’applications prioritaires) et la mise en cohérence avec l’Idex</w:t>
      </w:r>
      <w:r w:rsidR="0085408F" w:rsidRPr="00FD7D41">
        <w:rPr>
          <w:rFonts w:cs="Arial"/>
          <w:color w:val="auto"/>
        </w:rPr>
        <w:t>.</w:t>
      </w:r>
    </w:p>
    <w:p w:rsidR="00B622A5" w:rsidRPr="00FD7D41" w:rsidRDefault="0041345C" w:rsidP="00044E87">
      <w:pPr>
        <w:spacing w:after="40" w:line="240" w:lineRule="auto"/>
        <w:ind w:left="1701"/>
        <w:jc w:val="both"/>
        <w:rPr>
          <w:noProof/>
          <w:color w:val="auto"/>
          <w:lang w:eastAsia="fr-FR"/>
        </w:rPr>
      </w:pPr>
      <w:r w:rsidRPr="00FD7D41">
        <w:rPr>
          <w:noProof/>
          <w:color w:val="auto"/>
          <w:lang w:eastAsia="fr-FR"/>
        </w:rPr>
        <w:t>D</w:t>
      </w:r>
      <w:r w:rsidR="00B622A5" w:rsidRPr="00FD7D41">
        <w:rPr>
          <w:noProof/>
          <w:color w:val="auto"/>
          <w:lang w:eastAsia="fr-FR"/>
        </w:rPr>
        <w:t>es prestataires interviendront en appui</w:t>
      </w:r>
      <w:r w:rsidR="00940C08" w:rsidRPr="00FD7D41">
        <w:rPr>
          <w:noProof/>
          <w:color w:val="auto"/>
          <w:lang w:eastAsia="fr-FR"/>
        </w:rPr>
        <w:t> :</w:t>
      </w:r>
    </w:p>
    <w:p w:rsidR="00B622A5"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p</w:t>
      </w:r>
      <w:r w:rsidR="00940C08" w:rsidRPr="00FD7D41">
        <w:rPr>
          <w:rFonts w:cs="Arial"/>
          <w:color w:val="auto"/>
        </w:rPr>
        <w:t>our le</w:t>
      </w:r>
      <w:r w:rsidR="00B622A5" w:rsidRPr="00FD7D41">
        <w:rPr>
          <w:rFonts w:cs="Arial"/>
          <w:color w:val="auto"/>
        </w:rPr>
        <w:t xml:space="preserve"> plan d’affaire : Baptiste Guivarch, </w:t>
      </w:r>
      <w:r w:rsidR="00940C08" w:rsidRPr="00FD7D41">
        <w:rPr>
          <w:rFonts w:cs="Arial"/>
          <w:color w:val="auto"/>
        </w:rPr>
        <w:t xml:space="preserve">sous </w:t>
      </w:r>
      <w:r w:rsidR="00B622A5" w:rsidRPr="00FD7D41">
        <w:rPr>
          <w:rFonts w:cs="Arial"/>
          <w:color w:val="auto"/>
        </w:rPr>
        <w:t>contrat L’UNAM</w:t>
      </w:r>
      <w:r w:rsidR="00940C08" w:rsidRPr="00FD7D41">
        <w:rPr>
          <w:rFonts w:cs="Arial"/>
          <w:color w:val="auto"/>
        </w:rPr>
        <w:t>, ainsi que KPMG, sous contrat UEB</w:t>
      </w:r>
      <w:r>
        <w:rPr>
          <w:rFonts w:cs="Arial"/>
          <w:color w:val="auto"/>
        </w:rPr>
        <w:t> ;</w:t>
      </w:r>
    </w:p>
    <w:p w:rsidR="0041345C" w:rsidRPr="00FD7D41" w:rsidRDefault="00FB5A2F" w:rsidP="005060F4">
      <w:pPr>
        <w:pStyle w:val="Paragraphedeliste"/>
        <w:numPr>
          <w:ilvl w:val="0"/>
          <w:numId w:val="11"/>
        </w:numPr>
        <w:spacing w:afterLines="40" w:line="240" w:lineRule="auto"/>
        <w:ind w:left="1985" w:hanging="284"/>
        <w:jc w:val="both"/>
        <w:rPr>
          <w:rFonts w:cs="Arial"/>
          <w:color w:val="auto"/>
        </w:rPr>
      </w:pPr>
      <w:r>
        <w:rPr>
          <w:rFonts w:cs="Arial"/>
          <w:color w:val="auto"/>
        </w:rPr>
        <w:t>p</w:t>
      </w:r>
      <w:r w:rsidR="00940C08" w:rsidRPr="00FD7D41">
        <w:rPr>
          <w:rFonts w:cs="Arial"/>
          <w:color w:val="auto"/>
        </w:rPr>
        <w:t>our la</w:t>
      </w:r>
      <w:r w:rsidR="00B622A5" w:rsidRPr="00FD7D41">
        <w:rPr>
          <w:rFonts w:cs="Arial"/>
          <w:color w:val="auto"/>
        </w:rPr>
        <w:t xml:space="preserve"> stratégie </w:t>
      </w:r>
      <w:r>
        <w:rPr>
          <w:rFonts w:cs="Arial"/>
          <w:color w:val="auto"/>
        </w:rPr>
        <w:t xml:space="preserve">de la SATT, et </w:t>
      </w:r>
      <w:r w:rsidR="00940C08" w:rsidRPr="00FD7D41">
        <w:rPr>
          <w:rFonts w:cs="Arial"/>
          <w:color w:val="auto"/>
        </w:rPr>
        <w:t xml:space="preserve">la </w:t>
      </w:r>
      <w:r w:rsidR="00B622A5" w:rsidRPr="00FD7D41">
        <w:rPr>
          <w:rFonts w:cs="Arial"/>
          <w:color w:val="auto"/>
        </w:rPr>
        <w:t>rédaction du d</w:t>
      </w:r>
      <w:r w:rsidR="00940C08" w:rsidRPr="00FD7D41">
        <w:rPr>
          <w:rFonts w:cs="Arial"/>
          <w:color w:val="auto"/>
        </w:rPr>
        <w:t xml:space="preserve">ossier : un </w:t>
      </w:r>
      <w:r w:rsidR="00B622A5" w:rsidRPr="00FD7D41">
        <w:rPr>
          <w:rFonts w:cs="Arial"/>
          <w:color w:val="auto"/>
        </w:rPr>
        <w:t xml:space="preserve">appel d’offre </w:t>
      </w:r>
      <w:r w:rsidR="00940C08" w:rsidRPr="00FD7D41">
        <w:rPr>
          <w:rFonts w:cs="Arial"/>
          <w:color w:val="auto"/>
        </w:rPr>
        <w:t xml:space="preserve">pour une AMO </w:t>
      </w:r>
      <w:r w:rsidR="00B622A5" w:rsidRPr="00FD7D41">
        <w:rPr>
          <w:rFonts w:cs="Arial"/>
          <w:color w:val="auto"/>
        </w:rPr>
        <w:t>est en</w:t>
      </w:r>
      <w:r w:rsidR="00940C08" w:rsidRPr="00FD7D41">
        <w:rPr>
          <w:rFonts w:cs="Arial"/>
          <w:color w:val="auto"/>
        </w:rPr>
        <w:t xml:space="preserve"> </w:t>
      </w:r>
      <w:r w:rsidR="00B622A5" w:rsidRPr="00FD7D41">
        <w:rPr>
          <w:rFonts w:cs="Arial"/>
          <w:color w:val="auto"/>
        </w:rPr>
        <w:t>cours (UEB)</w:t>
      </w:r>
      <w:r w:rsidR="0085408F" w:rsidRPr="00FD7D41">
        <w:rPr>
          <w:rFonts w:cs="Arial"/>
          <w:color w:val="auto"/>
        </w:rPr>
        <w:t>.</w:t>
      </w:r>
    </w:p>
    <w:p w:rsidR="0041345C" w:rsidRDefault="0041345C" w:rsidP="005060F4">
      <w:pPr>
        <w:spacing w:afterLines="40" w:line="240" w:lineRule="auto"/>
        <w:ind w:left="1701"/>
        <w:jc w:val="both"/>
        <w:rPr>
          <w:noProof/>
          <w:color w:val="auto"/>
          <w:lang w:eastAsia="fr-FR"/>
        </w:rPr>
      </w:pPr>
      <w:r w:rsidRPr="00FD7D41">
        <w:rPr>
          <w:noProof/>
          <w:color w:val="auto"/>
          <w:lang w:eastAsia="fr-FR"/>
        </w:rPr>
        <w:t>De plus, un comité de pilotage opérationnel composé de décideurs des deux PRES représentant les actionnaires de la SATT</w:t>
      </w:r>
      <w:r w:rsidRPr="00FD7D41">
        <w:rPr>
          <w:rStyle w:val="Appelnotedebasdep"/>
          <w:noProof/>
          <w:color w:val="auto"/>
          <w:lang w:eastAsia="fr-FR"/>
        </w:rPr>
        <w:footnoteReference w:id="2"/>
      </w:r>
      <w:r w:rsidR="0085408F" w:rsidRPr="00FD7D41">
        <w:rPr>
          <w:noProof/>
          <w:color w:val="auto"/>
          <w:lang w:eastAsia="fr-FR"/>
        </w:rPr>
        <w:t xml:space="preserve"> </w:t>
      </w:r>
      <w:r w:rsidRPr="00FD7D41">
        <w:rPr>
          <w:noProof/>
          <w:color w:val="auto"/>
          <w:lang w:eastAsia="fr-FR"/>
        </w:rPr>
        <w:t xml:space="preserve">se réunit tous les 15 jours </w:t>
      </w:r>
      <w:r w:rsidR="004176F3" w:rsidRPr="00FD7D41">
        <w:rPr>
          <w:noProof/>
          <w:color w:val="auto"/>
          <w:lang w:eastAsia="fr-FR"/>
        </w:rPr>
        <w:t xml:space="preserve">à compter du 8 octobre </w:t>
      </w:r>
      <w:r w:rsidRPr="00FD7D41">
        <w:rPr>
          <w:noProof/>
          <w:color w:val="auto"/>
          <w:lang w:eastAsia="fr-FR"/>
        </w:rPr>
        <w:t xml:space="preserve">pour valider les </w:t>
      </w:r>
      <w:r w:rsidR="00F442D8" w:rsidRPr="00FD7D41">
        <w:rPr>
          <w:noProof/>
          <w:color w:val="auto"/>
          <w:lang w:eastAsia="fr-FR"/>
        </w:rPr>
        <w:t>travaux des équipes techniques.</w:t>
      </w:r>
    </w:p>
    <w:p w:rsidR="005277A7" w:rsidRDefault="005277A7" w:rsidP="005060F4">
      <w:pPr>
        <w:spacing w:afterLines="40" w:line="240" w:lineRule="auto"/>
        <w:ind w:left="1701"/>
        <w:jc w:val="both"/>
        <w:rPr>
          <w:b/>
          <w:noProof/>
          <w:color w:val="auto"/>
          <w:u w:val="single"/>
          <w:lang w:eastAsia="fr-FR"/>
        </w:rPr>
      </w:pPr>
    </w:p>
    <w:p w:rsidR="005277A7" w:rsidRPr="005060F4" w:rsidRDefault="005277A7" w:rsidP="005060F4">
      <w:pPr>
        <w:spacing w:afterLines="40" w:line="240" w:lineRule="auto"/>
        <w:ind w:left="1701"/>
        <w:jc w:val="both"/>
        <w:rPr>
          <w:b/>
          <w:noProof/>
          <w:color w:val="auto"/>
          <w:highlight w:val="yellow"/>
          <w:u w:val="single"/>
          <w:lang w:eastAsia="fr-FR"/>
        </w:rPr>
      </w:pPr>
      <w:r w:rsidRPr="005060F4">
        <w:rPr>
          <w:b/>
          <w:noProof/>
          <w:color w:val="auto"/>
          <w:highlight w:val="yellow"/>
          <w:u w:val="single"/>
          <w:lang w:eastAsia="fr-FR"/>
        </w:rPr>
        <w:t xml:space="preserve">Questions prioritaires à traiter </w:t>
      </w:r>
    </w:p>
    <w:p w:rsidR="009C29CB" w:rsidRPr="005060F4" w:rsidRDefault="009C29CB" w:rsidP="005060F4">
      <w:pPr>
        <w:spacing w:afterLines="40" w:line="240" w:lineRule="auto"/>
        <w:ind w:left="1701"/>
        <w:jc w:val="both"/>
        <w:rPr>
          <w:b/>
          <w:noProof/>
          <w:color w:val="auto"/>
          <w:highlight w:val="yellow"/>
          <w:u w:val="single"/>
          <w:lang w:eastAsia="fr-FR"/>
        </w:rPr>
      </w:pPr>
      <w:r w:rsidRPr="005060F4">
        <w:rPr>
          <w:b/>
          <w:noProof/>
          <w:color w:val="auto"/>
          <w:highlight w:val="yellow"/>
          <w:u w:val="single"/>
          <w:lang w:eastAsia="fr-FR"/>
        </w:rPr>
        <w:t>Territoire de la SATT</w:t>
      </w:r>
    </w:p>
    <w:p w:rsidR="00ED28C4" w:rsidRPr="005060F4" w:rsidRDefault="00ED28C4" w:rsidP="005060F4">
      <w:pPr>
        <w:spacing w:afterLines="40" w:line="240" w:lineRule="auto"/>
        <w:ind w:left="1701"/>
        <w:jc w:val="both"/>
        <w:rPr>
          <w:noProof/>
          <w:color w:val="auto"/>
          <w:highlight w:val="yellow"/>
          <w:lang w:eastAsia="fr-FR"/>
        </w:rPr>
      </w:pPr>
      <w:r w:rsidRPr="005060F4">
        <w:rPr>
          <w:noProof/>
          <w:color w:val="auto"/>
          <w:highlight w:val="yellow"/>
          <w:lang w:eastAsia="fr-FR"/>
        </w:rPr>
        <w:t>Quelles sont les intentions</w:t>
      </w:r>
      <w:r w:rsidR="009C29CB" w:rsidRPr="005060F4">
        <w:rPr>
          <w:noProof/>
          <w:color w:val="auto"/>
          <w:highlight w:val="yellow"/>
          <w:lang w:eastAsia="fr-FR"/>
        </w:rPr>
        <w:t xml:space="preserve"> des établissements du</w:t>
      </w:r>
      <w:r w:rsidRPr="005060F4">
        <w:rPr>
          <w:noProof/>
          <w:color w:val="auto"/>
          <w:highlight w:val="yellow"/>
          <w:lang w:eastAsia="fr-FR"/>
        </w:rPr>
        <w:t xml:space="preserve"> Centre et de Basse Normandie, voire des établissements ultra-marins  : actionnariat ou partenariat privilégié ? </w:t>
      </w:r>
    </w:p>
    <w:p w:rsidR="009C29CB" w:rsidRPr="005060F4" w:rsidRDefault="009C29CB" w:rsidP="005060F4">
      <w:pPr>
        <w:spacing w:afterLines="40" w:line="240" w:lineRule="auto"/>
        <w:ind w:left="1701"/>
        <w:jc w:val="both"/>
        <w:rPr>
          <w:noProof/>
          <w:color w:val="auto"/>
          <w:highlight w:val="yellow"/>
          <w:lang w:eastAsia="fr-FR"/>
        </w:rPr>
      </w:pPr>
      <w:r w:rsidRPr="005060F4">
        <w:rPr>
          <w:noProof/>
          <w:color w:val="auto"/>
          <w:highlight w:val="yellow"/>
          <w:lang w:eastAsia="fr-FR"/>
        </w:rPr>
        <w:t xml:space="preserve">Notamment le Centre aurait </w:t>
      </w:r>
      <w:r w:rsidR="00ED28C4" w:rsidRPr="005060F4">
        <w:rPr>
          <w:noProof/>
          <w:color w:val="auto"/>
          <w:highlight w:val="yellow"/>
          <w:lang w:eastAsia="fr-FR"/>
        </w:rPr>
        <w:t xml:space="preserve">récemment </w:t>
      </w:r>
      <w:r w:rsidRPr="005060F4">
        <w:rPr>
          <w:noProof/>
          <w:color w:val="auto"/>
          <w:highlight w:val="yellow"/>
          <w:lang w:eastAsia="fr-FR"/>
        </w:rPr>
        <w:t xml:space="preserve">formulé une demande officielle auprès du Pdt Cathelineau </w:t>
      </w:r>
      <w:r w:rsidR="00ED28C4" w:rsidRPr="005060F4">
        <w:rPr>
          <w:noProof/>
          <w:color w:val="auto"/>
          <w:highlight w:val="yellow"/>
          <w:lang w:eastAsia="fr-FR"/>
        </w:rPr>
        <w:t>pour entrer dans l’ac</w:t>
      </w:r>
      <w:r w:rsidR="005277A7" w:rsidRPr="005060F4">
        <w:rPr>
          <w:noProof/>
          <w:color w:val="auto"/>
          <w:highlight w:val="yellow"/>
          <w:lang w:eastAsia="fr-FR"/>
        </w:rPr>
        <w:t>tionnariat (info Bretagne Valori</w:t>
      </w:r>
      <w:r w:rsidR="00ED28C4" w:rsidRPr="005060F4">
        <w:rPr>
          <w:noProof/>
          <w:color w:val="auto"/>
          <w:highlight w:val="yellow"/>
          <w:lang w:eastAsia="fr-FR"/>
        </w:rPr>
        <w:t>sation le 06/10) ;</w:t>
      </w:r>
    </w:p>
    <w:p w:rsidR="00ED28C4" w:rsidRPr="005060F4" w:rsidRDefault="00ED28C4" w:rsidP="005060F4">
      <w:pPr>
        <w:spacing w:afterLines="40" w:line="240" w:lineRule="auto"/>
        <w:ind w:left="1701"/>
        <w:jc w:val="both"/>
        <w:rPr>
          <w:noProof/>
          <w:color w:val="auto"/>
          <w:highlight w:val="yellow"/>
          <w:lang w:eastAsia="fr-FR"/>
        </w:rPr>
      </w:pPr>
      <w:r w:rsidRPr="005060F4">
        <w:rPr>
          <w:noProof/>
          <w:color w:val="auto"/>
          <w:highlight w:val="yellow"/>
          <w:lang w:eastAsia="fr-FR"/>
        </w:rPr>
        <w:t>De façon corrolaire, quel niveau de décision de l’UNAM par rapport à l’UEB vis-à-vis de ces demandes ?</w:t>
      </w:r>
    </w:p>
    <w:p w:rsidR="00ED28C4" w:rsidRPr="005060F4" w:rsidRDefault="00ED28C4" w:rsidP="005060F4">
      <w:pPr>
        <w:spacing w:afterLines="40" w:line="240" w:lineRule="auto"/>
        <w:ind w:left="1701"/>
        <w:jc w:val="both"/>
        <w:rPr>
          <w:b/>
          <w:noProof/>
          <w:color w:val="auto"/>
          <w:highlight w:val="yellow"/>
          <w:u w:val="single"/>
          <w:lang w:eastAsia="fr-FR"/>
        </w:rPr>
      </w:pPr>
      <w:r w:rsidRPr="005060F4">
        <w:rPr>
          <w:b/>
          <w:noProof/>
          <w:color w:val="auto"/>
          <w:highlight w:val="yellow"/>
          <w:u w:val="single"/>
          <w:lang w:eastAsia="fr-FR"/>
        </w:rPr>
        <w:t>Actionnariat</w:t>
      </w:r>
    </w:p>
    <w:p w:rsidR="00ED28C4" w:rsidRPr="005060F4" w:rsidRDefault="00ED28C4" w:rsidP="005060F4">
      <w:pPr>
        <w:spacing w:afterLines="40" w:line="240" w:lineRule="auto"/>
        <w:ind w:left="1701"/>
        <w:jc w:val="both"/>
        <w:rPr>
          <w:noProof/>
          <w:color w:val="auto"/>
          <w:highlight w:val="yellow"/>
          <w:lang w:eastAsia="fr-FR"/>
        </w:rPr>
      </w:pPr>
      <w:r w:rsidRPr="005060F4">
        <w:rPr>
          <w:noProof/>
          <w:color w:val="auto"/>
          <w:highlight w:val="yellow"/>
          <w:lang w:eastAsia="fr-FR"/>
        </w:rPr>
        <w:t>Le CA est fixé à 12 administrateurs</w:t>
      </w:r>
      <w:r w:rsidR="005277A7" w:rsidRPr="005060F4">
        <w:rPr>
          <w:noProof/>
          <w:color w:val="auto"/>
          <w:highlight w:val="yellow"/>
          <w:lang w:eastAsia="fr-FR"/>
        </w:rPr>
        <w:t> : 8 administrateurs locaux, 4 administrateurs nationaux (cf. guide méthodologique)</w:t>
      </w:r>
    </w:p>
    <w:p w:rsidR="005277A7" w:rsidRPr="005060F4" w:rsidRDefault="005277A7" w:rsidP="005060F4">
      <w:pPr>
        <w:spacing w:afterLines="40" w:line="240" w:lineRule="auto"/>
        <w:ind w:left="1701"/>
        <w:jc w:val="both"/>
        <w:rPr>
          <w:noProof/>
          <w:color w:val="auto"/>
          <w:highlight w:val="yellow"/>
          <w:lang w:eastAsia="fr-FR"/>
        </w:rPr>
      </w:pPr>
      <w:r w:rsidRPr="005060F4">
        <w:rPr>
          <w:noProof/>
          <w:color w:val="auto"/>
          <w:highlight w:val="yellow"/>
          <w:lang w:eastAsia="fr-FR"/>
        </w:rPr>
        <w:t>La participation se faisant au prorata de l’actionnariat.</w:t>
      </w:r>
    </w:p>
    <w:p w:rsidR="005277A7" w:rsidRPr="005060F4" w:rsidRDefault="005277A7" w:rsidP="005060F4">
      <w:pPr>
        <w:spacing w:afterLines="40" w:line="240" w:lineRule="auto"/>
        <w:ind w:left="1701"/>
        <w:jc w:val="both"/>
        <w:rPr>
          <w:noProof/>
          <w:color w:val="auto"/>
          <w:highlight w:val="yellow"/>
          <w:lang w:eastAsia="fr-FR"/>
        </w:rPr>
      </w:pPr>
      <w:r w:rsidRPr="005060F4">
        <w:rPr>
          <w:noProof/>
          <w:color w:val="auto"/>
          <w:highlight w:val="yellow"/>
          <w:lang w:eastAsia="fr-FR"/>
        </w:rPr>
        <w:t>La répartition du partage de l’actionnariat résulte d’une négociation et s’appuie sur différents critères, par exemple le budget de la recherche, nombre de chercheurs, portefeuille de PI (Cf. guide méthodologique)</w:t>
      </w:r>
    </w:p>
    <w:p w:rsidR="00ED28C4" w:rsidRPr="005060F4" w:rsidRDefault="00ED28C4" w:rsidP="005060F4">
      <w:pPr>
        <w:spacing w:afterLines="40" w:line="240" w:lineRule="auto"/>
        <w:ind w:left="1701"/>
        <w:jc w:val="both"/>
        <w:rPr>
          <w:noProof/>
          <w:color w:val="auto"/>
          <w:highlight w:val="yellow"/>
          <w:lang w:eastAsia="fr-FR"/>
        </w:rPr>
      </w:pPr>
      <w:r w:rsidRPr="005060F4">
        <w:rPr>
          <w:noProof/>
          <w:color w:val="auto"/>
          <w:highlight w:val="yellow"/>
          <w:lang w:eastAsia="fr-FR"/>
        </w:rPr>
        <w:t>Le CA</w:t>
      </w:r>
      <w:r w:rsidR="005277A7" w:rsidRPr="005060F4">
        <w:rPr>
          <w:noProof/>
          <w:color w:val="auto"/>
          <w:highlight w:val="yellow"/>
          <w:lang w:eastAsia="fr-FR"/>
        </w:rPr>
        <w:t xml:space="preserve"> de L’UNAM a de son côté voté </w:t>
      </w:r>
      <w:r w:rsidRPr="005060F4">
        <w:rPr>
          <w:noProof/>
          <w:color w:val="auto"/>
          <w:highlight w:val="yellow"/>
          <w:lang w:eastAsia="fr-FR"/>
        </w:rPr>
        <w:t xml:space="preserve">une constitution conjointe </w:t>
      </w:r>
      <w:r w:rsidRPr="005060F4">
        <w:rPr>
          <w:b/>
          <w:noProof/>
          <w:color w:val="auto"/>
          <w:highlight w:val="yellow"/>
          <w:lang w:eastAsia="fr-FR"/>
        </w:rPr>
        <w:t>et à part égale</w:t>
      </w:r>
      <w:r w:rsidRPr="005060F4">
        <w:rPr>
          <w:noProof/>
          <w:color w:val="auto"/>
          <w:highlight w:val="yellow"/>
          <w:lang w:eastAsia="fr-FR"/>
        </w:rPr>
        <w:t xml:space="preserve"> avec l’UEB.</w:t>
      </w:r>
    </w:p>
    <w:p w:rsidR="00ED28C4" w:rsidRDefault="005277A7" w:rsidP="006114E2">
      <w:pPr>
        <w:spacing w:afterLines="40" w:line="240" w:lineRule="auto"/>
        <w:ind w:left="1701"/>
        <w:jc w:val="both"/>
        <w:rPr>
          <w:noProof/>
          <w:color w:val="auto"/>
          <w:lang w:eastAsia="fr-FR"/>
        </w:rPr>
      </w:pPr>
      <w:r w:rsidRPr="005060F4">
        <w:rPr>
          <w:noProof/>
          <w:color w:val="auto"/>
          <w:highlight w:val="yellow"/>
          <w:lang w:eastAsia="fr-FR"/>
        </w:rPr>
        <w:t>Dans le cas où cette ventilation devrait être revue ou négociée à la baisse pour L’UNAM, c’est le nombre de chercheurs qui apparaît être le critère reflétant au mieux le potentiel de valorisation, et pas la dépense de recherche</w:t>
      </w:r>
      <w:r w:rsidR="00FC458F" w:rsidRPr="005060F4">
        <w:rPr>
          <w:noProof/>
          <w:color w:val="auto"/>
          <w:highlight w:val="yellow"/>
          <w:lang w:eastAsia="fr-FR"/>
        </w:rPr>
        <w:t>.</w:t>
      </w:r>
    </w:p>
    <w:sectPr w:rsidR="00ED28C4" w:rsidSect="00FD7D41">
      <w:footerReference w:type="default" r:id="rId19"/>
      <w:pgSz w:w="11906" w:h="16838"/>
      <w:pgMar w:top="993" w:right="1417" w:bottom="709" w:left="1417" w:header="708"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DD8" w:rsidRDefault="008C7DD8" w:rsidP="004E1BE7">
      <w:pPr>
        <w:spacing w:after="0" w:line="240" w:lineRule="auto"/>
      </w:pPr>
      <w:r>
        <w:separator/>
      </w:r>
    </w:p>
  </w:endnote>
  <w:endnote w:type="continuationSeparator" w:id="0">
    <w:p w:rsidR="008C7DD8" w:rsidRDefault="008C7DD8" w:rsidP="004E1B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30493"/>
      <w:docPartObj>
        <w:docPartGallery w:val="Page Numbers (Bottom of Page)"/>
        <w:docPartUnique/>
      </w:docPartObj>
    </w:sdtPr>
    <w:sdtContent>
      <w:sdt>
        <w:sdtPr>
          <w:id w:val="123787606"/>
          <w:docPartObj>
            <w:docPartGallery w:val="Page Numbers (Top of Page)"/>
            <w:docPartUnique/>
          </w:docPartObj>
        </w:sdtPr>
        <w:sdtContent>
          <w:p w:rsidR="001E0A55" w:rsidRDefault="001E0A55" w:rsidP="00FD7D41">
            <w:pPr>
              <w:pStyle w:val="Pieddepage"/>
              <w:tabs>
                <w:tab w:val="clear" w:pos="4536"/>
                <w:tab w:val="center" w:pos="-5103"/>
                <w:tab w:val="left" w:pos="8364"/>
                <w:tab w:val="left" w:pos="9072"/>
              </w:tabs>
              <w:ind w:left="0" w:right="283"/>
              <w:jc w:val="both"/>
            </w:pPr>
            <w:r w:rsidRPr="00010108">
              <w:rPr>
                <w:noProof/>
                <w:color w:val="404040" w:themeColor="text1" w:themeTint="BF"/>
                <w:lang w:eastAsia="fr-FR" w:bidi="ar-SA"/>
              </w:rPr>
              <w:drawing>
                <wp:anchor distT="0" distB="0" distL="114300" distR="114300" simplePos="0" relativeHeight="251659264" behindDoc="1" locked="0" layoutInCell="1" allowOverlap="0">
                  <wp:simplePos x="0" y="0"/>
                  <wp:positionH relativeFrom="page">
                    <wp:posOffset>-2896</wp:posOffset>
                  </wp:positionH>
                  <wp:positionV relativeFrom="page">
                    <wp:posOffset>10292486</wp:posOffset>
                  </wp:positionV>
                  <wp:extent cx="354991" cy="241402"/>
                  <wp:effectExtent l="19050" t="0" r="6959" b="0"/>
                  <wp:wrapNone/>
                  <wp:docPr id="4" name="Image 3" descr="tr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b"/>
                          <pic:cNvPicPr>
                            <a:picLocks noChangeAspect="1" noChangeArrowheads="1"/>
                          </pic:cNvPicPr>
                        </pic:nvPicPr>
                        <pic:blipFill>
                          <a:blip r:embed="rId1"/>
                          <a:srcRect/>
                          <a:stretch>
                            <a:fillRect/>
                          </a:stretch>
                        </pic:blipFill>
                        <pic:spPr bwMode="auto">
                          <a:xfrm>
                            <a:off x="0" y="0"/>
                            <a:ext cx="354991" cy="241402"/>
                          </a:xfrm>
                          <a:prstGeom prst="rect">
                            <a:avLst/>
                          </a:prstGeom>
                          <a:noFill/>
                          <a:ln w="9525">
                            <a:noFill/>
                            <a:miter lim="800000"/>
                            <a:headEnd/>
                            <a:tailEnd/>
                          </a:ln>
                        </pic:spPr>
                      </pic:pic>
                    </a:graphicData>
                  </a:graphic>
                </wp:anchor>
              </w:drawing>
            </w:r>
            <w:r w:rsidRPr="00010108">
              <w:rPr>
                <w:color w:val="404040" w:themeColor="text1" w:themeTint="BF"/>
              </w:rPr>
              <w:t>L’UNAM, Pôle de recherche et d’enseignement supérieur</w:t>
            </w:r>
            <w:r>
              <w:tab/>
            </w:r>
            <w:r w:rsidR="006114E2" w:rsidRPr="00584D67">
              <w:rPr>
                <w:b/>
                <w:sz w:val="18"/>
                <w:szCs w:val="18"/>
              </w:rPr>
              <w:fldChar w:fldCharType="begin"/>
            </w:r>
            <w:r w:rsidRPr="00584D67">
              <w:rPr>
                <w:b/>
                <w:sz w:val="18"/>
                <w:szCs w:val="18"/>
              </w:rPr>
              <w:instrText>PAGE</w:instrText>
            </w:r>
            <w:r w:rsidR="006114E2" w:rsidRPr="00584D67">
              <w:rPr>
                <w:b/>
                <w:sz w:val="18"/>
                <w:szCs w:val="18"/>
              </w:rPr>
              <w:fldChar w:fldCharType="separate"/>
            </w:r>
            <w:r w:rsidR="005060F4">
              <w:rPr>
                <w:b/>
                <w:noProof/>
                <w:sz w:val="18"/>
                <w:szCs w:val="18"/>
              </w:rPr>
              <w:t>5</w:t>
            </w:r>
            <w:r w:rsidR="006114E2" w:rsidRPr="00584D67">
              <w:rPr>
                <w:b/>
                <w:sz w:val="18"/>
                <w:szCs w:val="18"/>
              </w:rPr>
              <w:fldChar w:fldCharType="end"/>
            </w:r>
            <w:r w:rsidRPr="00584D67">
              <w:rPr>
                <w:sz w:val="18"/>
                <w:szCs w:val="18"/>
              </w:rPr>
              <w:t xml:space="preserve"> / </w:t>
            </w:r>
            <w:r w:rsidR="006114E2" w:rsidRPr="00584D67">
              <w:rPr>
                <w:b/>
                <w:sz w:val="18"/>
                <w:szCs w:val="18"/>
              </w:rPr>
              <w:fldChar w:fldCharType="begin"/>
            </w:r>
            <w:r w:rsidRPr="00584D67">
              <w:rPr>
                <w:b/>
                <w:sz w:val="18"/>
                <w:szCs w:val="18"/>
              </w:rPr>
              <w:instrText>NUMPAGES</w:instrText>
            </w:r>
            <w:r w:rsidR="006114E2" w:rsidRPr="00584D67">
              <w:rPr>
                <w:b/>
                <w:sz w:val="18"/>
                <w:szCs w:val="18"/>
              </w:rPr>
              <w:fldChar w:fldCharType="separate"/>
            </w:r>
            <w:r w:rsidR="005060F4">
              <w:rPr>
                <w:b/>
                <w:noProof/>
                <w:sz w:val="18"/>
                <w:szCs w:val="18"/>
              </w:rPr>
              <w:t>5</w:t>
            </w:r>
            <w:r w:rsidR="006114E2" w:rsidRPr="00584D67">
              <w:rPr>
                <w:b/>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DD8" w:rsidRDefault="008C7DD8" w:rsidP="004E1BE7">
      <w:pPr>
        <w:spacing w:after="0" w:line="240" w:lineRule="auto"/>
      </w:pPr>
      <w:r>
        <w:separator/>
      </w:r>
    </w:p>
  </w:footnote>
  <w:footnote w:type="continuationSeparator" w:id="0">
    <w:p w:rsidR="008C7DD8" w:rsidRDefault="008C7DD8" w:rsidP="004E1BE7">
      <w:pPr>
        <w:spacing w:after="0" w:line="240" w:lineRule="auto"/>
      </w:pPr>
      <w:r>
        <w:continuationSeparator/>
      </w:r>
    </w:p>
  </w:footnote>
  <w:footnote w:id="1">
    <w:p w:rsidR="001E0A55" w:rsidRPr="00C75C99" w:rsidRDefault="001E0A55" w:rsidP="00C75C99">
      <w:pPr>
        <w:pStyle w:val="Notedebasdepage"/>
        <w:ind w:left="142"/>
        <w:rPr>
          <w:color w:val="auto"/>
          <w:sz w:val="16"/>
          <w:szCs w:val="16"/>
        </w:rPr>
      </w:pPr>
      <w:r w:rsidRPr="00C75C99">
        <w:rPr>
          <w:rStyle w:val="Appelnotedebasdep"/>
          <w:color w:val="auto"/>
          <w:sz w:val="16"/>
          <w:szCs w:val="16"/>
        </w:rPr>
        <w:footnoteRef/>
      </w:r>
      <w:r w:rsidRPr="00C75C99">
        <w:rPr>
          <w:color w:val="auto"/>
          <w:sz w:val="16"/>
          <w:szCs w:val="16"/>
        </w:rPr>
        <w:t xml:space="preserve"> Evalué par le montant de la dépense intérieure de recherche et développement (DIRD)</w:t>
      </w:r>
    </w:p>
  </w:footnote>
  <w:footnote w:id="2">
    <w:p w:rsidR="001E0A55" w:rsidRDefault="001E0A55" w:rsidP="003006DA">
      <w:pPr>
        <w:tabs>
          <w:tab w:val="left" w:pos="2268"/>
        </w:tabs>
        <w:spacing w:after="0" w:line="240" w:lineRule="auto"/>
        <w:ind w:left="142"/>
        <w:jc w:val="both"/>
        <w:rPr>
          <w:rStyle w:val="StyleLatinArial11pt"/>
          <w:rFonts w:asciiTheme="minorHAnsi" w:hAnsiTheme="minorHAnsi" w:cs="Arial"/>
          <w:color w:val="auto"/>
          <w:sz w:val="16"/>
          <w:szCs w:val="16"/>
        </w:rPr>
      </w:pPr>
      <w:r>
        <w:rPr>
          <w:rStyle w:val="Appelnotedebasdep"/>
        </w:rPr>
        <w:footnoteRef/>
      </w:r>
      <w:r>
        <w:t xml:space="preserve"> </w:t>
      </w:r>
      <w:r w:rsidRPr="00CD2DC5">
        <w:rPr>
          <w:color w:val="auto"/>
          <w:sz w:val="16"/>
          <w:szCs w:val="16"/>
        </w:rPr>
        <w:t xml:space="preserve">Pour l’UEB : Guy CATHELINEAU, </w:t>
      </w:r>
      <w:r w:rsidRPr="00CD2DC5">
        <w:rPr>
          <w:rStyle w:val="StyleLatinArial11pt"/>
          <w:rFonts w:asciiTheme="minorHAnsi" w:hAnsiTheme="minorHAnsi" w:cs="Arial"/>
          <w:color w:val="auto"/>
          <w:sz w:val="16"/>
          <w:szCs w:val="16"/>
        </w:rPr>
        <w:t>Pascal OLIVARD, Patrice QUINTON,Elisabeth LAGENTE et les sous directeurs de Bretagne Valorisation</w:t>
      </w:r>
      <w:r>
        <w:rPr>
          <w:rStyle w:val="StyleLatinArial11pt"/>
          <w:rFonts w:asciiTheme="minorHAnsi" w:hAnsiTheme="minorHAnsi" w:cs="Arial"/>
          <w:color w:val="auto"/>
          <w:sz w:val="16"/>
          <w:szCs w:val="16"/>
        </w:rPr>
        <w:t xml:space="preserve"> –</w:t>
      </w:r>
    </w:p>
    <w:p w:rsidR="001E0A55" w:rsidRDefault="001E0A55" w:rsidP="003006DA">
      <w:pPr>
        <w:tabs>
          <w:tab w:val="left" w:pos="2268"/>
        </w:tabs>
        <w:spacing w:after="0" w:line="240" w:lineRule="auto"/>
        <w:ind w:left="142"/>
        <w:jc w:val="both"/>
      </w:pPr>
      <w:r w:rsidRPr="00CD2DC5">
        <w:rPr>
          <w:color w:val="auto"/>
          <w:sz w:val="16"/>
          <w:szCs w:val="16"/>
        </w:rPr>
        <w:t>Pour L’UNAM : Yves GUILLOTIN, Jacques GIRARDEAU, Stéphane CASSEREAU, Francis YGUEL et Isabelle PENOT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BDC"/>
    <w:multiLevelType w:val="hybridMultilevel"/>
    <w:tmpl w:val="36C47E1C"/>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
    <w:nsid w:val="12091791"/>
    <w:multiLevelType w:val="hybridMultilevel"/>
    <w:tmpl w:val="294EF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280922"/>
    <w:multiLevelType w:val="hybridMultilevel"/>
    <w:tmpl w:val="4282EA50"/>
    <w:lvl w:ilvl="0" w:tplc="182A85C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7100F9"/>
    <w:multiLevelType w:val="hybridMultilevel"/>
    <w:tmpl w:val="038A3E84"/>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4">
    <w:nsid w:val="254F0F59"/>
    <w:multiLevelType w:val="hybridMultilevel"/>
    <w:tmpl w:val="35B485D2"/>
    <w:lvl w:ilvl="0" w:tplc="040C0001">
      <w:start w:val="1"/>
      <w:numFmt w:val="bullet"/>
      <w:lvlText w:val=""/>
      <w:lvlJc w:val="left"/>
      <w:pPr>
        <w:ind w:left="2421" w:hanging="360"/>
      </w:pPr>
      <w:rPr>
        <w:rFonts w:ascii="Symbol" w:hAnsi="Symbol" w:hint="default"/>
      </w:rPr>
    </w:lvl>
    <w:lvl w:ilvl="1" w:tplc="45DA0A20">
      <w:numFmt w:val="bullet"/>
      <w:lvlText w:val="-"/>
      <w:lvlJc w:val="left"/>
      <w:pPr>
        <w:ind w:left="3141" w:hanging="360"/>
      </w:pPr>
      <w:rPr>
        <w:rFonts w:ascii="Calibri" w:eastAsiaTheme="minorEastAsia" w:hAnsi="Calibri" w:cs="Arial"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5">
    <w:nsid w:val="48A24066"/>
    <w:multiLevelType w:val="hybridMultilevel"/>
    <w:tmpl w:val="A950E07C"/>
    <w:lvl w:ilvl="0" w:tplc="182A85CC">
      <w:start w:val="1"/>
      <w:numFmt w:val="bullet"/>
      <w:lvlText w:val=""/>
      <w:lvlJc w:val="left"/>
      <w:pPr>
        <w:ind w:left="2484" w:hanging="360"/>
      </w:pPr>
      <w:rPr>
        <w:rFonts w:ascii="Symbol" w:hAnsi="Symbol" w:hint="default"/>
      </w:rPr>
    </w:lvl>
    <w:lvl w:ilvl="1" w:tplc="182A85CC">
      <w:start w:val="1"/>
      <w:numFmt w:val="bullet"/>
      <w:lvlText w:val=""/>
      <w:lvlJc w:val="left"/>
      <w:pPr>
        <w:ind w:left="3204" w:hanging="360"/>
      </w:pPr>
      <w:rPr>
        <w:rFonts w:ascii="Symbol" w:hAnsi="Symbol"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58B571EB"/>
    <w:multiLevelType w:val="hybridMultilevel"/>
    <w:tmpl w:val="03DECD7E"/>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7">
    <w:nsid w:val="5DE43E9E"/>
    <w:multiLevelType w:val="hybridMultilevel"/>
    <w:tmpl w:val="E1840270"/>
    <w:lvl w:ilvl="0" w:tplc="040C0001">
      <w:start w:val="1"/>
      <w:numFmt w:val="bullet"/>
      <w:lvlText w:val=""/>
      <w:lvlJc w:val="left"/>
      <w:pPr>
        <w:ind w:left="2421" w:hanging="360"/>
      </w:pPr>
      <w:rPr>
        <w:rFonts w:ascii="Symbol" w:hAnsi="Symbol"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8">
    <w:nsid w:val="61C16CD4"/>
    <w:multiLevelType w:val="hybridMultilevel"/>
    <w:tmpl w:val="87F08B3E"/>
    <w:lvl w:ilvl="0" w:tplc="182A85CC">
      <w:start w:val="1"/>
      <w:numFmt w:val="bullet"/>
      <w:lvlText w:val=""/>
      <w:lvlJc w:val="left"/>
      <w:pPr>
        <w:ind w:left="2988" w:hanging="360"/>
      </w:pPr>
      <w:rPr>
        <w:rFonts w:ascii="Symbol" w:hAnsi="Symbol" w:hint="default"/>
      </w:rPr>
    </w:lvl>
    <w:lvl w:ilvl="1" w:tplc="040C0003">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9">
    <w:nsid w:val="74540325"/>
    <w:multiLevelType w:val="hybridMultilevel"/>
    <w:tmpl w:val="89CE246A"/>
    <w:lvl w:ilvl="0" w:tplc="5478FEB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7618482A"/>
    <w:multiLevelType w:val="hybridMultilevel"/>
    <w:tmpl w:val="2E18C9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7649240D"/>
    <w:multiLevelType w:val="hybridMultilevel"/>
    <w:tmpl w:val="64BAB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66B34EE"/>
    <w:multiLevelType w:val="hybridMultilevel"/>
    <w:tmpl w:val="7C3C70EE"/>
    <w:lvl w:ilvl="0" w:tplc="182A85CC">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10"/>
  </w:num>
  <w:num w:numId="3">
    <w:abstractNumId w:val="11"/>
  </w:num>
  <w:num w:numId="4">
    <w:abstractNumId w:val="12"/>
  </w:num>
  <w:num w:numId="5">
    <w:abstractNumId w:val="2"/>
  </w:num>
  <w:num w:numId="6">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0"/>
  </w:num>
  <w:num w:numId="10">
    <w:abstractNumId w:val="6"/>
  </w:num>
  <w:num w:numId="11">
    <w:abstractNumId w:val="7"/>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DB3721"/>
    <w:rsid w:val="000025EF"/>
    <w:rsid w:val="00016502"/>
    <w:rsid w:val="00040BFA"/>
    <w:rsid w:val="00044E87"/>
    <w:rsid w:val="00055415"/>
    <w:rsid w:val="000619FA"/>
    <w:rsid w:val="00074BAE"/>
    <w:rsid w:val="00075BAD"/>
    <w:rsid w:val="00095076"/>
    <w:rsid w:val="00097429"/>
    <w:rsid w:val="000A5C76"/>
    <w:rsid w:val="000B086C"/>
    <w:rsid w:val="000B77AD"/>
    <w:rsid w:val="000D43F0"/>
    <w:rsid w:val="000F01F0"/>
    <w:rsid w:val="000F46CB"/>
    <w:rsid w:val="000F5533"/>
    <w:rsid w:val="000F7990"/>
    <w:rsid w:val="00111B8D"/>
    <w:rsid w:val="00162F79"/>
    <w:rsid w:val="00164466"/>
    <w:rsid w:val="00164AEE"/>
    <w:rsid w:val="001765FF"/>
    <w:rsid w:val="0018421A"/>
    <w:rsid w:val="001A2151"/>
    <w:rsid w:val="001A268F"/>
    <w:rsid w:val="001B5819"/>
    <w:rsid w:val="001D0E1F"/>
    <w:rsid w:val="001E0A55"/>
    <w:rsid w:val="001F0F13"/>
    <w:rsid w:val="00207406"/>
    <w:rsid w:val="00215E7D"/>
    <w:rsid w:val="002222A3"/>
    <w:rsid w:val="00223804"/>
    <w:rsid w:val="002439B7"/>
    <w:rsid w:val="00251732"/>
    <w:rsid w:val="0027475F"/>
    <w:rsid w:val="0028026B"/>
    <w:rsid w:val="00285816"/>
    <w:rsid w:val="002A11FA"/>
    <w:rsid w:val="002B1C1A"/>
    <w:rsid w:val="002C3E2E"/>
    <w:rsid w:val="002C4A56"/>
    <w:rsid w:val="002D5D61"/>
    <w:rsid w:val="002E0D82"/>
    <w:rsid w:val="002F6746"/>
    <w:rsid w:val="002F7BE4"/>
    <w:rsid w:val="002F7EA8"/>
    <w:rsid w:val="003006DA"/>
    <w:rsid w:val="00312E4B"/>
    <w:rsid w:val="00324613"/>
    <w:rsid w:val="003424D4"/>
    <w:rsid w:val="00355FB1"/>
    <w:rsid w:val="00367F77"/>
    <w:rsid w:val="003748D4"/>
    <w:rsid w:val="00377BF9"/>
    <w:rsid w:val="00385B1E"/>
    <w:rsid w:val="003A4B7A"/>
    <w:rsid w:val="003C7D47"/>
    <w:rsid w:val="003D5DA6"/>
    <w:rsid w:val="0041345C"/>
    <w:rsid w:val="004176F3"/>
    <w:rsid w:val="0042225E"/>
    <w:rsid w:val="0042265B"/>
    <w:rsid w:val="00423E95"/>
    <w:rsid w:val="00426DD3"/>
    <w:rsid w:val="0046264A"/>
    <w:rsid w:val="004668B6"/>
    <w:rsid w:val="00470926"/>
    <w:rsid w:val="00474F47"/>
    <w:rsid w:val="0049489C"/>
    <w:rsid w:val="00495211"/>
    <w:rsid w:val="004A0A68"/>
    <w:rsid w:val="004A3B1A"/>
    <w:rsid w:val="004B0131"/>
    <w:rsid w:val="004B5811"/>
    <w:rsid w:val="004D012C"/>
    <w:rsid w:val="004D4DEE"/>
    <w:rsid w:val="004E1BE7"/>
    <w:rsid w:val="005060F4"/>
    <w:rsid w:val="0051333F"/>
    <w:rsid w:val="00524F73"/>
    <w:rsid w:val="00525B23"/>
    <w:rsid w:val="005277A7"/>
    <w:rsid w:val="0056473C"/>
    <w:rsid w:val="00565986"/>
    <w:rsid w:val="00567F15"/>
    <w:rsid w:val="0058263A"/>
    <w:rsid w:val="00597F7C"/>
    <w:rsid w:val="005B44C4"/>
    <w:rsid w:val="005E4C37"/>
    <w:rsid w:val="005F3D52"/>
    <w:rsid w:val="006114E2"/>
    <w:rsid w:val="00612C62"/>
    <w:rsid w:val="00613CF5"/>
    <w:rsid w:val="0062203C"/>
    <w:rsid w:val="00643AD2"/>
    <w:rsid w:val="00647CE4"/>
    <w:rsid w:val="006506E2"/>
    <w:rsid w:val="00670B43"/>
    <w:rsid w:val="006766FC"/>
    <w:rsid w:val="00683301"/>
    <w:rsid w:val="00691DD8"/>
    <w:rsid w:val="006B744A"/>
    <w:rsid w:val="006C2674"/>
    <w:rsid w:val="006C7973"/>
    <w:rsid w:val="006E0B6D"/>
    <w:rsid w:val="006F6030"/>
    <w:rsid w:val="007049A1"/>
    <w:rsid w:val="00706203"/>
    <w:rsid w:val="0071148C"/>
    <w:rsid w:val="00731041"/>
    <w:rsid w:val="00736AC4"/>
    <w:rsid w:val="0074047B"/>
    <w:rsid w:val="00742C18"/>
    <w:rsid w:val="00744E46"/>
    <w:rsid w:val="007726A1"/>
    <w:rsid w:val="007934FE"/>
    <w:rsid w:val="007B2620"/>
    <w:rsid w:val="007B274F"/>
    <w:rsid w:val="007B7A4B"/>
    <w:rsid w:val="007B7F9E"/>
    <w:rsid w:val="007C1AC3"/>
    <w:rsid w:val="007F1236"/>
    <w:rsid w:val="007F15C7"/>
    <w:rsid w:val="00851A73"/>
    <w:rsid w:val="00853389"/>
    <w:rsid w:val="0085408F"/>
    <w:rsid w:val="00854B81"/>
    <w:rsid w:val="00882375"/>
    <w:rsid w:val="00886E5D"/>
    <w:rsid w:val="00887083"/>
    <w:rsid w:val="008A6FBA"/>
    <w:rsid w:val="008B3C66"/>
    <w:rsid w:val="008C7DD8"/>
    <w:rsid w:val="008F61FC"/>
    <w:rsid w:val="009101A0"/>
    <w:rsid w:val="0091445C"/>
    <w:rsid w:val="00927FCE"/>
    <w:rsid w:val="00940C08"/>
    <w:rsid w:val="00942007"/>
    <w:rsid w:val="00943201"/>
    <w:rsid w:val="00943AF9"/>
    <w:rsid w:val="0097084C"/>
    <w:rsid w:val="00987DF5"/>
    <w:rsid w:val="009903FA"/>
    <w:rsid w:val="0099599D"/>
    <w:rsid w:val="0099616E"/>
    <w:rsid w:val="009C29CB"/>
    <w:rsid w:val="00A24772"/>
    <w:rsid w:val="00A41CE2"/>
    <w:rsid w:val="00A66831"/>
    <w:rsid w:val="00A9036C"/>
    <w:rsid w:val="00AA6D29"/>
    <w:rsid w:val="00AB26C3"/>
    <w:rsid w:val="00AB5AB7"/>
    <w:rsid w:val="00AC3DD9"/>
    <w:rsid w:val="00AC69CC"/>
    <w:rsid w:val="00AD5811"/>
    <w:rsid w:val="00AD7467"/>
    <w:rsid w:val="00AE31B2"/>
    <w:rsid w:val="00AE441C"/>
    <w:rsid w:val="00AF0FE3"/>
    <w:rsid w:val="00AF2D6C"/>
    <w:rsid w:val="00B06ABF"/>
    <w:rsid w:val="00B10A73"/>
    <w:rsid w:val="00B11CB3"/>
    <w:rsid w:val="00B15DB7"/>
    <w:rsid w:val="00B2052B"/>
    <w:rsid w:val="00B60D7B"/>
    <w:rsid w:val="00B622A5"/>
    <w:rsid w:val="00B67DFE"/>
    <w:rsid w:val="00B70526"/>
    <w:rsid w:val="00B7111C"/>
    <w:rsid w:val="00B95F9A"/>
    <w:rsid w:val="00BA2D7D"/>
    <w:rsid w:val="00BB4770"/>
    <w:rsid w:val="00BB67DF"/>
    <w:rsid w:val="00BC5B6C"/>
    <w:rsid w:val="00BF40DC"/>
    <w:rsid w:val="00C14EFA"/>
    <w:rsid w:val="00C154C8"/>
    <w:rsid w:val="00C25093"/>
    <w:rsid w:val="00C354D7"/>
    <w:rsid w:val="00C35C7F"/>
    <w:rsid w:val="00C50043"/>
    <w:rsid w:val="00C5527D"/>
    <w:rsid w:val="00C57068"/>
    <w:rsid w:val="00C64BFD"/>
    <w:rsid w:val="00C75C99"/>
    <w:rsid w:val="00C806C4"/>
    <w:rsid w:val="00C8713B"/>
    <w:rsid w:val="00CA6B6E"/>
    <w:rsid w:val="00CB2B1A"/>
    <w:rsid w:val="00CD2DC5"/>
    <w:rsid w:val="00D016C7"/>
    <w:rsid w:val="00D32DB5"/>
    <w:rsid w:val="00D37841"/>
    <w:rsid w:val="00D45890"/>
    <w:rsid w:val="00D5594B"/>
    <w:rsid w:val="00D55B2F"/>
    <w:rsid w:val="00D74946"/>
    <w:rsid w:val="00D756BA"/>
    <w:rsid w:val="00D81167"/>
    <w:rsid w:val="00D8481B"/>
    <w:rsid w:val="00D91090"/>
    <w:rsid w:val="00DB3721"/>
    <w:rsid w:val="00DC0B6F"/>
    <w:rsid w:val="00DF2727"/>
    <w:rsid w:val="00E04F51"/>
    <w:rsid w:val="00E0538D"/>
    <w:rsid w:val="00E116D4"/>
    <w:rsid w:val="00E1754A"/>
    <w:rsid w:val="00E30A95"/>
    <w:rsid w:val="00E50B08"/>
    <w:rsid w:val="00E66006"/>
    <w:rsid w:val="00E806EB"/>
    <w:rsid w:val="00E90850"/>
    <w:rsid w:val="00E95CF6"/>
    <w:rsid w:val="00EA36C9"/>
    <w:rsid w:val="00ED28C4"/>
    <w:rsid w:val="00ED6889"/>
    <w:rsid w:val="00ED77F1"/>
    <w:rsid w:val="00F02533"/>
    <w:rsid w:val="00F04C02"/>
    <w:rsid w:val="00F061EB"/>
    <w:rsid w:val="00F21AF8"/>
    <w:rsid w:val="00F23F7A"/>
    <w:rsid w:val="00F275AB"/>
    <w:rsid w:val="00F35697"/>
    <w:rsid w:val="00F442D8"/>
    <w:rsid w:val="00F470BC"/>
    <w:rsid w:val="00F64E13"/>
    <w:rsid w:val="00F74278"/>
    <w:rsid w:val="00F75588"/>
    <w:rsid w:val="00F872F8"/>
    <w:rsid w:val="00FB19F2"/>
    <w:rsid w:val="00FB32D5"/>
    <w:rsid w:val="00FB5A2F"/>
    <w:rsid w:val="00FC20C1"/>
    <w:rsid w:val="00FC458F"/>
    <w:rsid w:val="00FD3088"/>
    <w:rsid w:val="00FD7D41"/>
    <w:rsid w:val="00FF0C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9FA"/>
    <w:rPr>
      <w:color w:val="5A5A5A" w:themeColor="text1" w:themeTint="A5"/>
      <w:lang w:val="fr-FR"/>
    </w:rPr>
  </w:style>
  <w:style w:type="paragraph" w:styleId="Titre1">
    <w:name w:val="heading 1"/>
    <w:basedOn w:val="Normal"/>
    <w:next w:val="Normal"/>
    <w:link w:val="Titre1Car"/>
    <w:uiPriority w:val="9"/>
    <w:qFormat/>
    <w:rsid w:val="000619F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0619FA"/>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0619FA"/>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semiHidden/>
    <w:unhideWhenUsed/>
    <w:qFormat/>
    <w:rsid w:val="000619FA"/>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0619FA"/>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0619FA"/>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0619FA"/>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0619FA"/>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0619FA"/>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37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721"/>
    <w:rPr>
      <w:rFonts w:ascii="Tahoma" w:hAnsi="Tahoma" w:cs="Tahoma"/>
      <w:sz w:val="16"/>
      <w:szCs w:val="16"/>
    </w:rPr>
  </w:style>
  <w:style w:type="character" w:customStyle="1" w:styleId="Titre5Car">
    <w:name w:val="Titre 5 Car"/>
    <w:basedOn w:val="Policepardfaut"/>
    <w:link w:val="Titre5"/>
    <w:uiPriority w:val="9"/>
    <w:rsid w:val="000619FA"/>
    <w:rPr>
      <w:rFonts w:asciiTheme="majorHAnsi" w:eastAsiaTheme="majorEastAsia" w:hAnsiTheme="majorHAnsi" w:cstheme="majorBidi"/>
      <w:smallCaps/>
      <w:color w:val="3071C3" w:themeColor="text2" w:themeTint="BF"/>
      <w:spacing w:val="20"/>
    </w:rPr>
  </w:style>
  <w:style w:type="character" w:styleId="lev">
    <w:name w:val="Strong"/>
    <w:uiPriority w:val="22"/>
    <w:qFormat/>
    <w:rsid w:val="000619FA"/>
    <w:rPr>
      <w:b/>
      <w:bCs/>
      <w:spacing w:val="0"/>
    </w:rPr>
  </w:style>
  <w:style w:type="paragraph" w:styleId="NormalWeb">
    <w:name w:val="Normal (Web)"/>
    <w:basedOn w:val="Normal"/>
    <w:uiPriority w:val="99"/>
    <w:semiHidden/>
    <w:unhideWhenUsed/>
    <w:rsid w:val="00C35C7F"/>
    <w:pPr>
      <w:spacing w:after="0" w:line="240" w:lineRule="auto"/>
    </w:pPr>
    <w:rPr>
      <w:rFonts w:ascii="Times New Roman" w:eastAsia="Times New Roman" w:hAnsi="Times New Roman" w:cs="Times New Roman"/>
      <w:sz w:val="24"/>
      <w:szCs w:val="24"/>
      <w:lang w:eastAsia="fr-FR"/>
    </w:rPr>
  </w:style>
  <w:style w:type="character" w:customStyle="1" w:styleId="sifr-alternate">
    <w:name w:val="sifr-alternate"/>
    <w:basedOn w:val="Policepardfaut"/>
    <w:rsid w:val="00C35C7F"/>
  </w:style>
  <w:style w:type="table" w:styleId="Grilledutableau">
    <w:name w:val="Table Grid"/>
    <w:basedOn w:val="TableauNormal"/>
    <w:uiPriority w:val="59"/>
    <w:rsid w:val="00040B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0619FA"/>
    <w:pPr>
      <w:ind w:left="720"/>
      <w:contextualSpacing/>
    </w:pPr>
  </w:style>
  <w:style w:type="character" w:customStyle="1" w:styleId="StyleLatinArial11pt">
    <w:name w:val="Style (Latin) Arial 11 pt"/>
    <w:basedOn w:val="Policepardfaut"/>
    <w:uiPriority w:val="99"/>
    <w:rsid w:val="00943201"/>
    <w:rPr>
      <w:rFonts w:ascii="Arial" w:hAnsi="Arial" w:cs="Times New Roman"/>
      <w:sz w:val="20"/>
    </w:rPr>
  </w:style>
  <w:style w:type="character" w:customStyle="1" w:styleId="Titre1Car">
    <w:name w:val="Titre 1 Car"/>
    <w:basedOn w:val="Policepardfaut"/>
    <w:link w:val="Titre1"/>
    <w:uiPriority w:val="9"/>
    <w:rsid w:val="000619FA"/>
    <w:rPr>
      <w:rFonts w:asciiTheme="majorHAnsi" w:eastAsiaTheme="majorEastAsia" w:hAnsiTheme="majorHAnsi" w:cstheme="majorBidi"/>
      <w:smallCaps/>
      <w:color w:val="0F243E" w:themeColor="text2" w:themeShade="7F"/>
      <w:spacing w:val="20"/>
      <w:sz w:val="32"/>
      <w:szCs w:val="32"/>
    </w:rPr>
  </w:style>
  <w:style w:type="character" w:customStyle="1" w:styleId="Titre2Car">
    <w:name w:val="Titre 2 Car"/>
    <w:basedOn w:val="Policepardfaut"/>
    <w:link w:val="Titre2"/>
    <w:uiPriority w:val="9"/>
    <w:rsid w:val="000619FA"/>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0619FA"/>
    <w:rPr>
      <w:rFonts w:asciiTheme="majorHAnsi" w:eastAsiaTheme="majorEastAsia" w:hAnsiTheme="majorHAnsi" w:cstheme="majorBidi"/>
      <w:smallCaps/>
      <w:color w:val="1F497D" w:themeColor="text2"/>
      <w:spacing w:val="20"/>
      <w:sz w:val="24"/>
      <w:szCs w:val="24"/>
    </w:rPr>
  </w:style>
  <w:style w:type="character" w:customStyle="1" w:styleId="Titre4Car">
    <w:name w:val="Titre 4 Car"/>
    <w:basedOn w:val="Policepardfaut"/>
    <w:link w:val="Titre4"/>
    <w:uiPriority w:val="9"/>
    <w:semiHidden/>
    <w:rsid w:val="000619FA"/>
    <w:rPr>
      <w:rFonts w:asciiTheme="majorHAnsi" w:eastAsiaTheme="majorEastAsia" w:hAnsiTheme="majorHAnsi" w:cstheme="majorBidi"/>
      <w:b/>
      <w:bCs/>
      <w:smallCaps/>
      <w:color w:val="3071C3" w:themeColor="text2" w:themeTint="BF"/>
      <w:spacing w:val="20"/>
    </w:rPr>
  </w:style>
  <w:style w:type="character" w:customStyle="1" w:styleId="Titre6Car">
    <w:name w:val="Titre 6 Car"/>
    <w:basedOn w:val="Policepardfaut"/>
    <w:link w:val="Titre6"/>
    <w:uiPriority w:val="9"/>
    <w:semiHidden/>
    <w:rsid w:val="000619FA"/>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0619FA"/>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0619FA"/>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0619FA"/>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0619FA"/>
    <w:rPr>
      <w:b/>
      <w:bCs/>
      <w:smallCaps/>
      <w:color w:val="1F497D" w:themeColor="text2"/>
      <w:spacing w:val="10"/>
      <w:sz w:val="18"/>
      <w:szCs w:val="18"/>
    </w:rPr>
  </w:style>
  <w:style w:type="paragraph" w:styleId="Titre">
    <w:name w:val="Title"/>
    <w:next w:val="Normal"/>
    <w:link w:val="TitreCar"/>
    <w:uiPriority w:val="10"/>
    <w:qFormat/>
    <w:rsid w:val="000619FA"/>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0619FA"/>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0619FA"/>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0619FA"/>
    <w:rPr>
      <w:smallCaps/>
      <w:color w:val="938953" w:themeColor="background2" w:themeShade="7F"/>
      <w:spacing w:val="5"/>
      <w:sz w:val="28"/>
      <w:szCs w:val="28"/>
    </w:rPr>
  </w:style>
  <w:style w:type="character" w:styleId="Accentuation">
    <w:name w:val="Emphasis"/>
    <w:uiPriority w:val="20"/>
    <w:qFormat/>
    <w:rsid w:val="000619FA"/>
    <w:rPr>
      <w:b/>
      <w:bCs/>
      <w:smallCaps/>
      <w:dstrike w:val="0"/>
      <w:color w:val="5A5A5A" w:themeColor="text1" w:themeTint="A5"/>
      <w:spacing w:val="20"/>
      <w:kern w:val="0"/>
      <w:vertAlign w:val="baseline"/>
    </w:rPr>
  </w:style>
  <w:style w:type="paragraph" w:styleId="Sansinterligne">
    <w:name w:val="No Spacing"/>
    <w:basedOn w:val="Normal"/>
    <w:uiPriority w:val="1"/>
    <w:qFormat/>
    <w:rsid w:val="000619FA"/>
    <w:pPr>
      <w:spacing w:after="0" w:line="240" w:lineRule="auto"/>
    </w:pPr>
  </w:style>
  <w:style w:type="paragraph" w:styleId="Citation">
    <w:name w:val="Quote"/>
    <w:basedOn w:val="Normal"/>
    <w:next w:val="Normal"/>
    <w:link w:val="CitationCar"/>
    <w:uiPriority w:val="29"/>
    <w:qFormat/>
    <w:rsid w:val="000619FA"/>
    <w:rPr>
      <w:i/>
      <w:iCs/>
    </w:rPr>
  </w:style>
  <w:style w:type="character" w:customStyle="1" w:styleId="CitationCar">
    <w:name w:val="Citation Car"/>
    <w:basedOn w:val="Policepardfaut"/>
    <w:link w:val="Citation"/>
    <w:uiPriority w:val="29"/>
    <w:rsid w:val="000619FA"/>
    <w:rPr>
      <w:i/>
      <w:iCs/>
      <w:color w:val="5A5A5A" w:themeColor="text1" w:themeTint="A5"/>
      <w:sz w:val="20"/>
      <w:szCs w:val="20"/>
    </w:rPr>
  </w:style>
  <w:style w:type="paragraph" w:styleId="Citationintense">
    <w:name w:val="Intense Quote"/>
    <w:basedOn w:val="Normal"/>
    <w:next w:val="Normal"/>
    <w:link w:val="CitationintenseCar"/>
    <w:uiPriority w:val="30"/>
    <w:qFormat/>
    <w:rsid w:val="000619FA"/>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0619FA"/>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0619FA"/>
    <w:rPr>
      <w:smallCaps/>
      <w:dstrike w:val="0"/>
      <w:color w:val="5A5A5A" w:themeColor="text1" w:themeTint="A5"/>
      <w:vertAlign w:val="baseline"/>
    </w:rPr>
  </w:style>
  <w:style w:type="character" w:styleId="Emphaseintense">
    <w:name w:val="Intense Emphasis"/>
    <w:uiPriority w:val="21"/>
    <w:qFormat/>
    <w:rsid w:val="000619FA"/>
    <w:rPr>
      <w:b/>
      <w:bCs/>
      <w:smallCaps/>
      <w:color w:val="4F81BD" w:themeColor="accent1"/>
      <w:spacing w:val="40"/>
    </w:rPr>
  </w:style>
  <w:style w:type="character" w:styleId="Rfrenceple">
    <w:name w:val="Subtle Reference"/>
    <w:uiPriority w:val="31"/>
    <w:qFormat/>
    <w:rsid w:val="000619FA"/>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0619FA"/>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0619FA"/>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0619FA"/>
    <w:pPr>
      <w:outlineLvl w:val="9"/>
    </w:pPr>
  </w:style>
  <w:style w:type="table" w:customStyle="1" w:styleId="Listemoyenne21">
    <w:name w:val="Liste moyenne 21"/>
    <w:basedOn w:val="TableauNormal"/>
    <w:uiPriority w:val="66"/>
    <w:rsid w:val="00BC5B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tedebasdepage">
    <w:name w:val="footnote text"/>
    <w:basedOn w:val="Normal"/>
    <w:link w:val="NotedebasdepageCar"/>
    <w:uiPriority w:val="99"/>
    <w:semiHidden/>
    <w:unhideWhenUsed/>
    <w:rsid w:val="004E1BE7"/>
    <w:pPr>
      <w:spacing w:after="0" w:line="240" w:lineRule="auto"/>
    </w:pPr>
  </w:style>
  <w:style w:type="character" w:customStyle="1" w:styleId="NotedebasdepageCar">
    <w:name w:val="Note de bas de page Car"/>
    <w:basedOn w:val="Policepardfaut"/>
    <w:link w:val="Notedebasdepage"/>
    <w:uiPriority w:val="99"/>
    <w:semiHidden/>
    <w:rsid w:val="004E1BE7"/>
    <w:rPr>
      <w:color w:val="5A5A5A" w:themeColor="text1" w:themeTint="A5"/>
      <w:lang w:val="fr-FR"/>
    </w:rPr>
  </w:style>
  <w:style w:type="character" w:styleId="Appelnotedebasdep">
    <w:name w:val="footnote reference"/>
    <w:basedOn w:val="Policepardfaut"/>
    <w:uiPriority w:val="99"/>
    <w:semiHidden/>
    <w:unhideWhenUsed/>
    <w:rsid w:val="004E1BE7"/>
    <w:rPr>
      <w:vertAlign w:val="superscript"/>
    </w:rPr>
  </w:style>
  <w:style w:type="paragraph" w:styleId="En-tte">
    <w:name w:val="header"/>
    <w:basedOn w:val="Normal"/>
    <w:link w:val="En-tteCar"/>
    <w:uiPriority w:val="99"/>
    <w:semiHidden/>
    <w:unhideWhenUsed/>
    <w:rsid w:val="007B7F9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B7F9E"/>
    <w:rPr>
      <w:color w:val="5A5A5A" w:themeColor="text1" w:themeTint="A5"/>
      <w:lang w:val="fr-FR"/>
    </w:rPr>
  </w:style>
  <w:style w:type="paragraph" w:styleId="Pieddepage">
    <w:name w:val="footer"/>
    <w:basedOn w:val="Normal"/>
    <w:link w:val="PieddepageCar"/>
    <w:uiPriority w:val="99"/>
    <w:unhideWhenUsed/>
    <w:rsid w:val="007B7F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7F9E"/>
    <w:rPr>
      <w:color w:val="5A5A5A" w:themeColor="text1" w:themeTint="A5"/>
      <w:lang w:val="fr-FR"/>
    </w:rPr>
  </w:style>
</w:styles>
</file>

<file path=word/webSettings.xml><?xml version="1.0" encoding="utf-8"?>
<w:webSettings xmlns:r="http://schemas.openxmlformats.org/officeDocument/2006/relationships" xmlns:w="http://schemas.openxmlformats.org/wordprocessingml/2006/main">
  <w:divs>
    <w:div w:id="592475273">
      <w:bodyDiv w:val="1"/>
      <w:marLeft w:val="0"/>
      <w:marRight w:val="0"/>
      <w:marTop w:val="0"/>
      <w:marBottom w:val="0"/>
      <w:divBdr>
        <w:top w:val="none" w:sz="0" w:space="0" w:color="auto"/>
        <w:left w:val="none" w:sz="0" w:space="0" w:color="auto"/>
        <w:bottom w:val="none" w:sz="0" w:space="0" w:color="auto"/>
        <w:right w:val="none" w:sz="0" w:space="0" w:color="auto"/>
      </w:divBdr>
      <w:divsChild>
        <w:div w:id="405690705">
          <w:marLeft w:val="547"/>
          <w:marRight w:val="0"/>
          <w:marTop w:val="0"/>
          <w:marBottom w:val="0"/>
          <w:divBdr>
            <w:top w:val="none" w:sz="0" w:space="0" w:color="auto"/>
            <w:left w:val="none" w:sz="0" w:space="0" w:color="auto"/>
            <w:bottom w:val="none" w:sz="0" w:space="0" w:color="auto"/>
            <w:right w:val="none" w:sz="0" w:space="0" w:color="auto"/>
          </w:divBdr>
        </w:div>
      </w:divsChild>
    </w:div>
    <w:div w:id="2112779308">
      <w:bodyDiv w:val="1"/>
      <w:marLeft w:val="0"/>
      <w:marRight w:val="0"/>
      <w:marTop w:val="0"/>
      <w:marBottom w:val="0"/>
      <w:divBdr>
        <w:top w:val="none" w:sz="0" w:space="0" w:color="auto"/>
        <w:left w:val="none" w:sz="0" w:space="0" w:color="auto"/>
        <w:bottom w:val="none" w:sz="0" w:space="0" w:color="auto"/>
        <w:right w:val="none" w:sz="0" w:space="0" w:color="auto"/>
      </w:divBdr>
      <w:divsChild>
        <w:div w:id="1886289091">
          <w:marLeft w:val="0"/>
          <w:marRight w:val="0"/>
          <w:marTop w:val="100"/>
          <w:marBottom w:val="100"/>
          <w:divBdr>
            <w:top w:val="none" w:sz="0" w:space="0" w:color="auto"/>
            <w:left w:val="none" w:sz="0" w:space="0" w:color="auto"/>
            <w:bottom w:val="none" w:sz="0" w:space="0" w:color="auto"/>
            <w:right w:val="none" w:sz="0" w:space="0" w:color="auto"/>
          </w:divBdr>
          <w:divsChild>
            <w:div w:id="326788339">
              <w:marLeft w:val="0"/>
              <w:marRight w:val="0"/>
              <w:marTop w:val="0"/>
              <w:marBottom w:val="0"/>
              <w:divBdr>
                <w:top w:val="none" w:sz="0" w:space="0" w:color="auto"/>
                <w:left w:val="none" w:sz="0" w:space="0" w:color="auto"/>
                <w:bottom w:val="none" w:sz="0" w:space="0" w:color="auto"/>
                <w:right w:val="none" w:sz="0" w:space="0" w:color="auto"/>
              </w:divBdr>
              <w:divsChild>
                <w:div w:id="5975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8613E0-FA24-4D4E-80F1-D0D1BFA50B9F}" type="doc">
      <dgm:prSet loTypeId="urn:microsoft.com/office/officeart/2005/8/layout/lProcess2" loCatId="list" qsTypeId="urn:microsoft.com/office/officeart/2005/8/quickstyle/simple5" qsCatId="simple" csTypeId="urn:microsoft.com/office/officeart/2005/8/colors/accent0_1" csCatId="mainScheme" phldr="1"/>
      <dgm:spPr/>
      <dgm:t>
        <a:bodyPr/>
        <a:lstStyle/>
        <a:p>
          <a:endParaRPr lang="fr-FR"/>
        </a:p>
      </dgm:t>
    </dgm:pt>
    <dgm:pt modelId="{97676B6C-61DD-44C3-89A8-AA016ADE0047}">
      <dgm:prSet phldrT="[Texte]" custT="1"/>
      <dgm:spPr/>
      <dgm:t>
        <a:bodyPr/>
        <a:lstStyle/>
        <a:p>
          <a:pPr algn="ctr"/>
          <a:r>
            <a:rPr lang="fr-FR" sz="1100"/>
            <a:t>Soutenir la recherche et les partenariats</a:t>
          </a:r>
        </a:p>
      </dgm:t>
    </dgm:pt>
    <dgm:pt modelId="{11BF6488-2B17-4DDD-9C4A-518B395F9830}" type="parTrans" cxnId="{EE41EA0F-3070-4243-AF64-9CF88273A9E6}">
      <dgm:prSet/>
      <dgm:spPr/>
      <dgm:t>
        <a:bodyPr/>
        <a:lstStyle/>
        <a:p>
          <a:pPr algn="ctr"/>
          <a:endParaRPr lang="fr-FR"/>
        </a:p>
      </dgm:t>
    </dgm:pt>
    <dgm:pt modelId="{10F80308-049F-47CF-AEE5-AE2DB1832112}" type="sibTrans" cxnId="{EE41EA0F-3070-4243-AF64-9CF88273A9E6}">
      <dgm:prSet/>
      <dgm:spPr/>
      <dgm:t>
        <a:bodyPr/>
        <a:lstStyle/>
        <a:p>
          <a:pPr algn="ctr"/>
          <a:endParaRPr lang="fr-FR"/>
        </a:p>
      </dgm:t>
    </dgm:pt>
    <dgm:pt modelId="{396AC127-F92E-4B45-BA62-5D199150DF4B}">
      <dgm:prSet phldrT="[Texte]"/>
      <dgm:spPr/>
      <dgm:t>
        <a:bodyPr/>
        <a:lstStyle/>
        <a:p>
          <a:pPr algn="ctr"/>
          <a:r>
            <a:rPr lang="fr-FR"/>
            <a:t>Sensibilisation </a:t>
          </a:r>
        </a:p>
        <a:p>
          <a:pPr algn="ctr"/>
          <a:r>
            <a:rPr lang="fr-FR"/>
            <a:t>Détection</a:t>
          </a:r>
        </a:p>
      </dgm:t>
    </dgm:pt>
    <dgm:pt modelId="{BCC76E32-2AF3-488C-B061-9F9337B84139}" type="parTrans" cxnId="{311B989E-157D-40C8-A7F9-F7EE373A469B}">
      <dgm:prSet/>
      <dgm:spPr/>
      <dgm:t>
        <a:bodyPr/>
        <a:lstStyle/>
        <a:p>
          <a:pPr algn="ctr"/>
          <a:endParaRPr lang="fr-FR"/>
        </a:p>
      </dgm:t>
    </dgm:pt>
    <dgm:pt modelId="{4CF2526D-54CD-46E5-A61C-46F8969F2085}" type="sibTrans" cxnId="{311B989E-157D-40C8-A7F9-F7EE373A469B}">
      <dgm:prSet/>
      <dgm:spPr/>
      <dgm:t>
        <a:bodyPr/>
        <a:lstStyle/>
        <a:p>
          <a:pPr algn="ctr"/>
          <a:endParaRPr lang="fr-FR"/>
        </a:p>
      </dgm:t>
    </dgm:pt>
    <dgm:pt modelId="{3F7297D2-B9C6-45A3-A70A-227801C7033C}">
      <dgm:prSet phldrT="[Texte]"/>
      <dgm:spPr/>
      <dgm:t>
        <a:bodyPr/>
        <a:lstStyle/>
        <a:p>
          <a:pPr algn="ctr"/>
          <a:r>
            <a:rPr lang="fr-FR"/>
            <a:t>Contrats multi-partenaires</a:t>
          </a:r>
        </a:p>
      </dgm:t>
    </dgm:pt>
    <dgm:pt modelId="{6A6A1517-DAC6-4B78-BD73-582A1A1AAD7D}" type="parTrans" cxnId="{22DE8260-2F6A-43B8-9E40-61FA10E94A82}">
      <dgm:prSet/>
      <dgm:spPr/>
      <dgm:t>
        <a:bodyPr/>
        <a:lstStyle/>
        <a:p>
          <a:pPr algn="ctr"/>
          <a:endParaRPr lang="fr-FR"/>
        </a:p>
      </dgm:t>
    </dgm:pt>
    <dgm:pt modelId="{8B979CE7-F5EA-4FA1-8FCB-9410FC21BCD3}" type="sibTrans" cxnId="{22DE8260-2F6A-43B8-9E40-61FA10E94A82}">
      <dgm:prSet/>
      <dgm:spPr/>
      <dgm:t>
        <a:bodyPr/>
        <a:lstStyle/>
        <a:p>
          <a:pPr algn="ctr"/>
          <a:endParaRPr lang="fr-FR"/>
        </a:p>
      </dgm:t>
    </dgm:pt>
    <dgm:pt modelId="{58C00718-70B1-4637-9A86-9F73DE6D3B9C}">
      <dgm:prSet phldrT="[Texte]" custT="1"/>
      <dgm:spPr/>
      <dgm:t>
        <a:bodyPr/>
        <a:lstStyle/>
        <a:p>
          <a:pPr algn="ctr"/>
          <a:r>
            <a:rPr lang="fr-FR" sz="1100"/>
            <a:t>Assurer la protection des résultats</a:t>
          </a:r>
        </a:p>
      </dgm:t>
    </dgm:pt>
    <dgm:pt modelId="{0AEC919C-8D5C-439B-B6DF-B13C1CA8E06A}" type="parTrans" cxnId="{34413F28-D712-4A99-BA4F-48414122BD75}">
      <dgm:prSet/>
      <dgm:spPr/>
      <dgm:t>
        <a:bodyPr/>
        <a:lstStyle/>
        <a:p>
          <a:pPr algn="ctr"/>
          <a:endParaRPr lang="fr-FR"/>
        </a:p>
      </dgm:t>
    </dgm:pt>
    <dgm:pt modelId="{CA8A4B65-0AE0-453C-B782-313ED92B851F}" type="sibTrans" cxnId="{34413F28-D712-4A99-BA4F-48414122BD75}">
      <dgm:prSet/>
      <dgm:spPr/>
      <dgm:t>
        <a:bodyPr/>
        <a:lstStyle/>
        <a:p>
          <a:pPr algn="ctr"/>
          <a:endParaRPr lang="fr-FR"/>
        </a:p>
      </dgm:t>
    </dgm:pt>
    <dgm:pt modelId="{59E9629F-3BEF-403A-9431-28662BB0650D}">
      <dgm:prSet phldrT="[Texte]"/>
      <dgm:spPr/>
      <dgm:t>
        <a:bodyPr/>
        <a:lstStyle/>
        <a:p>
          <a:pPr algn="ctr"/>
          <a:r>
            <a:rPr lang="fr-FR"/>
            <a:t>Dépôts des titres de PI</a:t>
          </a:r>
        </a:p>
      </dgm:t>
    </dgm:pt>
    <dgm:pt modelId="{4CC8E27B-F18A-49E4-BD1D-6C9A15787C89}" type="parTrans" cxnId="{2FECBCCE-0693-40BA-8BD4-0E22FE4EE857}">
      <dgm:prSet/>
      <dgm:spPr/>
      <dgm:t>
        <a:bodyPr/>
        <a:lstStyle/>
        <a:p>
          <a:pPr algn="ctr"/>
          <a:endParaRPr lang="fr-FR"/>
        </a:p>
      </dgm:t>
    </dgm:pt>
    <dgm:pt modelId="{545359D2-EF27-438C-B2C7-B8E306245EC8}" type="sibTrans" cxnId="{2FECBCCE-0693-40BA-8BD4-0E22FE4EE857}">
      <dgm:prSet/>
      <dgm:spPr/>
      <dgm:t>
        <a:bodyPr/>
        <a:lstStyle/>
        <a:p>
          <a:pPr algn="ctr"/>
          <a:endParaRPr lang="fr-FR"/>
        </a:p>
      </dgm:t>
    </dgm:pt>
    <dgm:pt modelId="{8CEFB9F2-7846-4836-AE15-C1C41333C7C3}">
      <dgm:prSet phldrT="[Texte]"/>
      <dgm:spPr/>
      <dgm:t>
        <a:bodyPr/>
        <a:lstStyle/>
        <a:p>
          <a:pPr algn="ctr"/>
          <a:r>
            <a:rPr lang="fr-FR"/>
            <a:t>Gestion du portefeuille </a:t>
          </a:r>
        </a:p>
      </dgm:t>
    </dgm:pt>
    <dgm:pt modelId="{D42E7C13-9249-4CDF-B575-BBC40DF50017}" type="parTrans" cxnId="{B9A6B6E9-7FF7-49DF-B454-9CA126137CCF}">
      <dgm:prSet/>
      <dgm:spPr/>
      <dgm:t>
        <a:bodyPr/>
        <a:lstStyle/>
        <a:p>
          <a:pPr algn="ctr"/>
          <a:endParaRPr lang="fr-FR"/>
        </a:p>
      </dgm:t>
    </dgm:pt>
    <dgm:pt modelId="{7AC25776-F645-474E-A957-DD67C080BC9F}" type="sibTrans" cxnId="{B9A6B6E9-7FF7-49DF-B454-9CA126137CCF}">
      <dgm:prSet/>
      <dgm:spPr/>
      <dgm:t>
        <a:bodyPr/>
        <a:lstStyle/>
        <a:p>
          <a:pPr algn="ctr"/>
          <a:endParaRPr lang="fr-FR"/>
        </a:p>
      </dgm:t>
    </dgm:pt>
    <dgm:pt modelId="{637694D7-ED6F-4B25-AF3C-0F711F2C97B8}">
      <dgm:prSet phldrT="[Texte]" custT="1"/>
      <dgm:spPr/>
      <dgm:t>
        <a:bodyPr/>
        <a:lstStyle/>
        <a:p>
          <a:pPr algn="ctr"/>
          <a:r>
            <a:rPr lang="fr-FR" sz="1100"/>
            <a:t>Piloter et marketer le développement technologique</a:t>
          </a:r>
        </a:p>
      </dgm:t>
    </dgm:pt>
    <dgm:pt modelId="{4A915957-F5E8-4461-9637-2DA09FFA2B71}" type="parTrans" cxnId="{3D4C6575-1513-4EA7-B2AB-D2499609A8AB}">
      <dgm:prSet/>
      <dgm:spPr/>
      <dgm:t>
        <a:bodyPr/>
        <a:lstStyle/>
        <a:p>
          <a:pPr algn="ctr"/>
          <a:endParaRPr lang="fr-FR"/>
        </a:p>
      </dgm:t>
    </dgm:pt>
    <dgm:pt modelId="{6788F770-B30F-4CB3-BD9E-1D43B72916F6}" type="sibTrans" cxnId="{3D4C6575-1513-4EA7-B2AB-D2499609A8AB}">
      <dgm:prSet/>
      <dgm:spPr/>
      <dgm:t>
        <a:bodyPr/>
        <a:lstStyle/>
        <a:p>
          <a:pPr algn="ctr"/>
          <a:endParaRPr lang="fr-FR"/>
        </a:p>
      </dgm:t>
    </dgm:pt>
    <dgm:pt modelId="{EE1C4677-8CD6-42A0-BC15-36F40FE74827}">
      <dgm:prSet phldrT="[Texte]"/>
      <dgm:spPr/>
      <dgm:t>
        <a:bodyPr/>
        <a:lstStyle/>
        <a:p>
          <a:pPr algn="ctr"/>
          <a:r>
            <a:rPr lang="fr-FR"/>
            <a:t>Preuve de concept</a:t>
          </a:r>
        </a:p>
      </dgm:t>
    </dgm:pt>
    <dgm:pt modelId="{48E3ABAF-D110-461D-A7D7-9D565F5B3C3E}" type="parTrans" cxnId="{5D591CF6-6D6C-4134-8B28-81150153A0CE}">
      <dgm:prSet/>
      <dgm:spPr/>
      <dgm:t>
        <a:bodyPr/>
        <a:lstStyle/>
        <a:p>
          <a:pPr algn="ctr"/>
          <a:endParaRPr lang="fr-FR"/>
        </a:p>
      </dgm:t>
    </dgm:pt>
    <dgm:pt modelId="{1FB02C5B-01B4-4116-B254-432D8095E5AE}" type="sibTrans" cxnId="{5D591CF6-6D6C-4134-8B28-81150153A0CE}">
      <dgm:prSet/>
      <dgm:spPr/>
      <dgm:t>
        <a:bodyPr/>
        <a:lstStyle/>
        <a:p>
          <a:pPr algn="ctr"/>
          <a:endParaRPr lang="fr-FR"/>
        </a:p>
      </dgm:t>
    </dgm:pt>
    <dgm:pt modelId="{A5F1F413-9064-45A0-9C91-33E53FB69C24}">
      <dgm:prSet phldrT="[Texte]"/>
      <dgm:spPr/>
      <dgm:t>
        <a:bodyPr/>
        <a:lstStyle/>
        <a:p>
          <a:pPr algn="ctr"/>
          <a:r>
            <a:rPr lang="fr-FR"/>
            <a:t>Business Units</a:t>
          </a:r>
        </a:p>
      </dgm:t>
    </dgm:pt>
    <dgm:pt modelId="{7045CE4E-CE8C-4789-8794-284B77D5391D}" type="parTrans" cxnId="{AB9FC737-486E-455C-9EAB-D5B67B77157B}">
      <dgm:prSet/>
      <dgm:spPr/>
      <dgm:t>
        <a:bodyPr/>
        <a:lstStyle/>
        <a:p>
          <a:pPr algn="ctr"/>
          <a:endParaRPr lang="fr-FR"/>
        </a:p>
      </dgm:t>
    </dgm:pt>
    <dgm:pt modelId="{3FAF32CB-4B71-4665-8079-E8BB72AADCC3}" type="sibTrans" cxnId="{AB9FC737-486E-455C-9EAB-D5B67B77157B}">
      <dgm:prSet/>
      <dgm:spPr/>
      <dgm:t>
        <a:bodyPr/>
        <a:lstStyle/>
        <a:p>
          <a:pPr algn="ctr"/>
          <a:endParaRPr lang="fr-FR"/>
        </a:p>
      </dgm:t>
    </dgm:pt>
    <dgm:pt modelId="{817B5E0B-4A26-4603-8623-16E63832190E}">
      <dgm:prSet/>
      <dgm:spPr/>
      <dgm:t>
        <a:bodyPr/>
        <a:lstStyle/>
        <a:p>
          <a:pPr algn="ctr"/>
          <a:r>
            <a:rPr lang="fr-FR"/>
            <a:t>Collaborations</a:t>
          </a:r>
        </a:p>
      </dgm:t>
    </dgm:pt>
    <dgm:pt modelId="{E06DF9AC-3074-4786-BF34-36416C85EDFF}" type="parTrans" cxnId="{6D412ED0-4106-4A93-A11C-A2CC6DC9D0B4}">
      <dgm:prSet/>
      <dgm:spPr/>
      <dgm:t>
        <a:bodyPr/>
        <a:lstStyle/>
        <a:p>
          <a:pPr algn="ctr"/>
          <a:endParaRPr lang="fr-FR"/>
        </a:p>
      </dgm:t>
    </dgm:pt>
    <dgm:pt modelId="{67BF946D-A37D-4E42-B5AE-13896187580F}" type="sibTrans" cxnId="{6D412ED0-4106-4A93-A11C-A2CC6DC9D0B4}">
      <dgm:prSet/>
      <dgm:spPr/>
      <dgm:t>
        <a:bodyPr/>
        <a:lstStyle/>
        <a:p>
          <a:pPr algn="ctr"/>
          <a:endParaRPr lang="fr-FR"/>
        </a:p>
      </dgm:t>
    </dgm:pt>
    <dgm:pt modelId="{2D5B7799-03BD-4545-8944-2A0BDC86A54A}">
      <dgm:prSet/>
      <dgm:spPr/>
      <dgm:t>
        <a:bodyPr/>
        <a:lstStyle/>
        <a:p>
          <a:pPr algn="ctr"/>
          <a:r>
            <a:rPr lang="fr-FR"/>
            <a:t>Prototypes</a:t>
          </a:r>
        </a:p>
      </dgm:t>
    </dgm:pt>
    <dgm:pt modelId="{2B373738-CB21-4A5B-B06E-FC6E0D4221A4}" type="parTrans" cxnId="{2A2F6F8A-A388-416D-83CB-EFA51BD9ECF7}">
      <dgm:prSet/>
      <dgm:spPr/>
      <dgm:t>
        <a:bodyPr/>
        <a:lstStyle/>
        <a:p>
          <a:pPr algn="ctr"/>
          <a:endParaRPr lang="fr-FR"/>
        </a:p>
      </dgm:t>
    </dgm:pt>
    <dgm:pt modelId="{3D0C068D-4B03-47B8-A970-8F059E70811F}" type="sibTrans" cxnId="{2A2F6F8A-A388-416D-83CB-EFA51BD9ECF7}">
      <dgm:prSet/>
      <dgm:spPr/>
      <dgm:t>
        <a:bodyPr/>
        <a:lstStyle/>
        <a:p>
          <a:pPr algn="ctr"/>
          <a:endParaRPr lang="fr-FR"/>
        </a:p>
      </dgm:t>
    </dgm:pt>
    <dgm:pt modelId="{31283003-F152-4D7D-855A-58EA044281FB}">
      <dgm:prSet phldrT="[Texte]" custT="1"/>
      <dgm:spPr/>
      <dgm:t>
        <a:bodyPr/>
        <a:lstStyle/>
        <a:p>
          <a:pPr algn="ctr"/>
          <a:r>
            <a:rPr lang="fr-FR" sz="1100"/>
            <a:t>Transférer les inventions</a:t>
          </a:r>
        </a:p>
      </dgm:t>
    </dgm:pt>
    <dgm:pt modelId="{37CBAA8D-E399-4B73-8C4C-25838A241BC9}" type="parTrans" cxnId="{1CB425A9-17C2-4F5B-BFFA-9F5B41C2D2BE}">
      <dgm:prSet/>
      <dgm:spPr/>
      <dgm:t>
        <a:bodyPr/>
        <a:lstStyle/>
        <a:p>
          <a:pPr algn="ctr"/>
          <a:endParaRPr lang="fr-FR"/>
        </a:p>
      </dgm:t>
    </dgm:pt>
    <dgm:pt modelId="{C1A5F504-CA6D-405F-933A-7CE64E988F0A}" type="sibTrans" cxnId="{1CB425A9-17C2-4F5B-BFFA-9F5B41C2D2BE}">
      <dgm:prSet/>
      <dgm:spPr/>
      <dgm:t>
        <a:bodyPr/>
        <a:lstStyle/>
        <a:p>
          <a:pPr algn="ctr"/>
          <a:endParaRPr lang="fr-FR"/>
        </a:p>
      </dgm:t>
    </dgm:pt>
    <dgm:pt modelId="{9102284A-2027-418F-9DC8-4909BDFEFCDB}">
      <dgm:prSet phldrT="[Texte]"/>
      <dgm:spPr/>
      <dgm:t>
        <a:bodyPr/>
        <a:lstStyle/>
        <a:p>
          <a:pPr algn="ctr"/>
          <a:r>
            <a:rPr lang="fr-FR"/>
            <a:t>Licensing out</a:t>
          </a:r>
        </a:p>
      </dgm:t>
    </dgm:pt>
    <dgm:pt modelId="{C70DC7C8-6E58-4E75-A1E5-E5432A859173}" type="parTrans" cxnId="{55EE97B5-2A22-4F9F-ABA7-798AB588DFB0}">
      <dgm:prSet/>
      <dgm:spPr/>
      <dgm:t>
        <a:bodyPr/>
        <a:lstStyle/>
        <a:p>
          <a:pPr algn="ctr"/>
          <a:endParaRPr lang="fr-FR"/>
        </a:p>
      </dgm:t>
    </dgm:pt>
    <dgm:pt modelId="{16540B32-92F2-4755-A3C5-61C03EC6440C}" type="sibTrans" cxnId="{55EE97B5-2A22-4F9F-ABA7-798AB588DFB0}">
      <dgm:prSet/>
      <dgm:spPr/>
      <dgm:t>
        <a:bodyPr/>
        <a:lstStyle/>
        <a:p>
          <a:pPr algn="ctr"/>
          <a:endParaRPr lang="fr-FR"/>
        </a:p>
      </dgm:t>
    </dgm:pt>
    <dgm:pt modelId="{5D912D71-6E65-43C2-9BB1-FA1CAE527553}">
      <dgm:prSet phldrT="[Texte]"/>
      <dgm:spPr/>
      <dgm:t>
        <a:bodyPr/>
        <a:lstStyle/>
        <a:p>
          <a:pPr algn="ctr"/>
          <a:r>
            <a:rPr lang="fr-FR"/>
            <a:t>Création d'entreprises</a:t>
          </a:r>
        </a:p>
      </dgm:t>
    </dgm:pt>
    <dgm:pt modelId="{5426CAF9-D1EB-40B8-8EA6-ED0E6E7580FE}" type="parTrans" cxnId="{A85877AD-AF56-4772-982D-DCCA5AD4C7E9}">
      <dgm:prSet/>
      <dgm:spPr/>
      <dgm:t>
        <a:bodyPr/>
        <a:lstStyle/>
        <a:p>
          <a:pPr algn="ctr"/>
          <a:endParaRPr lang="fr-FR"/>
        </a:p>
      </dgm:t>
    </dgm:pt>
    <dgm:pt modelId="{385BD422-FEAD-48B8-A197-8046FCE81D06}" type="sibTrans" cxnId="{A85877AD-AF56-4772-982D-DCCA5AD4C7E9}">
      <dgm:prSet/>
      <dgm:spPr/>
      <dgm:t>
        <a:bodyPr/>
        <a:lstStyle/>
        <a:p>
          <a:pPr algn="ctr"/>
          <a:endParaRPr lang="fr-FR"/>
        </a:p>
      </dgm:t>
    </dgm:pt>
    <dgm:pt modelId="{007C58EF-8CCA-4347-A184-0DCF34E13F06}" type="pres">
      <dgm:prSet presAssocID="{928613E0-FA24-4D4E-80F1-D0D1BFA50B9F}" presName="theList" presStyleCnt="0">
        <dgm:presLayoutVars>
          <dgm:dir/>
          <dgm:animLvl val="lvl"/>
          <dgm:resizeHandles val="exact"/>
        </dgm:presLayoutVars>
      </dgm:prSet>
      <dgm:spPr/>
      <dgm:t>
        <a:bodyPr/>
        <a:lstStyle/>
        <a:p>
          <a:endParaRPr lang="fr-FR"/>
        </a:p>
      </dgm:t>
    </dgm:pt>
    <dgm:pt modelId="{D0734F69-7FEA-4000-8A4E-492F94112262}" type="pres">
      <dgm:prSet presAssocID="{97676B6C-61DD-44C3-89A8-AA016ADE0047}" presName="compNode" presStyleCnt="0"/>
      <dgm:spPr/>
      <dgm:t>
        <a:bodyPr/>
        <a:lstStyle/>
        <a:p>
          <a:endParaRPr lang="fr-FR"/>
        </a:p>
      </dgm:t>
    </dgm:pt>
    <dgm:pt modelId="{66469366-0E99-4D91-938A-BF1A480576D3}" type="pres">
      <dgm:prSet presAssocID="{97676B6C-61DD-44C3-89A8-AA016ADE0047}" presName="aNode" presStyleLbl="bgShp" presStyleIdx="0" presStyleCnt="4"/>
      <dgm:spPr/>
      <dgm:t>
        <a:bodyPr/>
        <a:lstStyle/>
        <a:p>
          <a:endParaRPr lang="fr-FR"/>
        </a:p>
      </dgm:t>
    </dgm:pt>
    <dgm:pt modelId="{9E6B8FD1-BE1C-49E6-BF42-60826BC62D85}" type="pres">
      <dgm:prSet presAssocID="{97676B6C-61DD-44C3-89A8-AA016ADE0047}" presName="textNode" presStyleLbl="bgShp" presStyleIdx="0" presStyleCnt="4"/>
      <dgm:spPr/>
      <dgm:t>
        <a:bodyPr/>
        <a:lstStyle/>
        <a:p>
          <a:endParaRPr lang="fr-FR"/>
        </a:p>
      </dgm:t>
    </dgm:pt>
    <dgm:pt modelId="{97F9FB8B-04CA-4892-A94B-920174C73CA0}" type="pres">
      <dgm:prSet presAssocID="{97676B6C-61DD-44C3-89A8-AA016ADE0047}" presName="compChildNode" presStyleCnt="0"/>
      <dgm:spPr/>
      <dgm:t>
        <a:bodyPr/>
        <a:lstStyle/>
        <a:p>
          <a:endParaRPr lang="fr-FR"/>
        </a:p>
      </dgm:t>
    </dgm:pt>
    <dgm:pt modelId="{86E82840-BC37-417C-A8D5-FEDD72A1B51C}" type="pres">
      <dgm:prSet presAssocID="{97676B6C-61DD-44C3-89A8-AA016ADE0047}" presName="theInnerList" presStyleCnt="0"/>
      <dgm:spPr/>
      <dgm:t>
        <a:bodyPr/>
        <a:lstStyle/>
        <a:p>
          <a:endParaRPr lang="fr-FR"/>
        </a:p>
      </dgm:t>
    </dgm:pt>
    <dgm:pt modelId="{640A254B-983D-463E-84BD-1661C1DEE37E}" type="pres">
      <dgm:prSet presAssocID="{396AC127-F92E-4B45-BA62-5D199150DF4B}" presName="childNode" presStyleLbl="node1" presStyleIdx="0" presStyleCnt="10">
        <dgm:presLayoutVars>
          <dgm:bulletEnabled val="1"/>
        </dgm:presLayoutVars>
      </dgm:prSet>
      <dgm:spPr/>
      <dgm:t>
        <a:bodyPr/>
        <a:lstStyle/>
        <a:p>
          <a:endParaRPr lang="fr-FR"/>
        </a:p>
      </dgm:t>
    </dgm:pt>
    <dgm:pt modelId="{29C052AC-A822-4D11-B737-6F45FBBF74AC}" type="pres">
      <dgm:prSet presAssocID="{396AC127-F92E-4B45-BA62-5D199150DF4B}" presName="aSpace2" presStyleCnt="0"/>
      <dgm:spPr/>
      <dgm:t>
        <a:bodyPr/>
        <a:lstStyle/>
        <a:p>
          <a:endParaRPr lang="fr-FR"/>
        </a:p>
      </dgm:t>
    </dgm:pt>
    <dgm:pt modelId="{359FEF0E-478C-48B6-B9CE-E85F0931A599}" type="pres">
      <dgm:prSet presAssocID="{817B5E0B-4A26-4603-8623-16E63832190E}" presName="childNode" presStyleLbl="node1" presStyleIdx="1" presStyleCnt="10">
        <dgm:presLayoutVars>
          <dgm:bulletEnabled val="1"/>
        </dgm:presLayoutVars>
      </dgm:prSet>
      <dgm:spPr/>
      <dgm:t>
        <a:bodyPr/>
        <a:lstStyle/>
        <a:p>
          <a:endParaRPr lang="fr-FR"/>
        </a:p>
      </dgm:t>
    </dgm:pt>
    <dgm:pt modelId="{4AE97C94-AD95-49B1-B9EB-15E6628BF799}" type="pres">
      <dgm:prSet presAssocID="{817B5E0B-4A26-4603-8623-16E63832190E}" presName="aSpace2" presStyleCnt="0"/>
      <dgm:spPr/>
      <dgm:t>
        <a:bodyPr/>
        <a:lstStyle/>
        <a:p>
          <a:endParaRPr lang="fr-FR"/>
        </a:p>
      </dgm:t>
    </dgm:pt>
    <dgm:pt modelId="{A8728705-1960-4E67-A48F-1F1BA1C5172C}" type="pres">
      <dgm:prSet presAssocID="{3F7297D2-B9C6-45A3-A70A-227801C7033C}" presName="childNode" presStyleLbl="node1" presStyleIdx="2" presStyleCnt="10" custLinFactNeighborX="-1407" custLinFactNeighborY="-6331">
        <dgm:presLayoutVars>
          <dgm:bulletEnabled val="1"/>
        </dgm:presLayoutVars>
      </dgm:prSet>
      <dgm:spPr/>
      <dgm:t>
        <a:bodyPr/>
        <a:lstStyle/>
        <a:p>
          <a:endParaRPr lang="fr-FR"/>
        </a:p>
      </dgm:t>
    </dgm:pt>
    <dgm:pt modelId="{9CBFCF12-A22C-4B55-A327-3B908CED43CC}" type="pres">
      <dgm:prSet presAssocID="{97676B6C-61DD-44C3-89A8-AA016ADE0047}" presName="aSpace" presStyleCnt="0"/>
      <dgm:spPr/>
      <dgm:t>
        <a:bodyPr/>
        <a:lstStyle/>
        <a:p>
          <a:endParaRPr lang="fr-FR"/>
        </a:p>
      </dgm:t>
    </dgm:pt>
    <dgm:pt modelId="{C2F19699-EFE0-4BE8-949C-D989325DFC5B}" type="pres">
      <dgm:prSet presAssocID="{58C00718-70B1-4637-9A86-9F73DE6D3B9C}" presName="compNode" presStyleCnt="0"/>
      <dgm:spPr/>
      <dgm:t>
        <a:bodyPr/>
        <a:lstStyle/>
        <a:p>
          <a:endParaRPr lang="fr-FR"/>
        </a:p>
      </dgm:t>
    </dgm:pt>
    <dgm:pt modelId="{8CF3F5BF-94A7-4D43-93D6-275994BADE25}" type="pres">
      <dgm:prSet presAssocID="{58C00718-70B1-4637-9A86-9F73DE6D3B9C}" presName="aNode" presStyleLbl="bgShp" presStyleIdx="1" presStyleCnt="4"/>
      <dgm:spPr/>
      <dgm:t>
        <a:bodyPr/>
        <a:lstStyle/>
        <a:p>
          <a:endParaRPr lang="fr-FR"/>
        </a:p>
      </dgm:t>
    </dgm:pt>
    <dgm:pt modelId="{652734E4-47E5-4B5A-A0EA-558587E5EDC6}" type="pres">
      <dgm:prSet presAssocID="{58C00718-70B1-4637-9A86-9F73DE6D3B9C}" presName="textNode" presStyleLbl="bgShp" presStyleIdx="1" presStyleCnt="4"/>
      <dgm:spPr/>
      <dgm:t>
        <a:bodyPr/>
        <a:lstStyle/>
        <a:p>
          <a:endParaRPr lang="fr-FR"/>
        </a:p>
      </dgm:t>
    </dgm:pt>
    <dgm:pt modelId="{805120B6-869A-4FE0-8DC4-18731E0CD3F7}" type="pres">
      <dgm:prSet presAssocID="{58C00718-70B1-4637-9A86-9F73DE6D3B9C}" presName="compChildNode" presStyleCnt="0"/>
      <dgm:spPr/>
      <dgm:t>
        <a:bodyPr/>
        <a:lstStyle/>
        <a:p>
          <a:endParaRPr lang="fr-FR"/>
        </a:p>
      </dgm:t>
    </dgm:pt>
    <dgm:pt modelId="{E99BC2D3-8F24-4CF4-A251-0E51C63C7199}" type="pres">
      <dgm:prSet presAssocID="{58C00718-70B1-4637-9A86-9F73DE6D3B9C}" presName="theInnerList" presStyleCnt="0"/>
      <dgm:spPr/>
      <dgm:t>
        <a:bodyPr/>
        <a:lstStyle/>
        <a:p>
          <a:endParaRPr lang="fr-FR"/>
        </a:p>
      </dgm:t>
    </dgm:pt>
    <dgm:pt modelId="{0BE8791C-EC8B-4CF6-AE77-38E220F42607}" type="pres">
      <dgm:prSet presAssocID="{59E9629F-3BEF-403A-9431-28662BB0650D}" presName="childNode" presStyleLbl="node1" presStyleIdx="3" presStyleCnt="10">
        <dgm:presLayoutVars>
          <dgm:bulletEnabled val="1"/>
        </dgm:presLayoutVars>
      </dgm:prSet>
      <dgm:spPr/>
      <dgm:t>
        <a:bodyPr/>
        <a:lstStyle/>
        <a:p>
          <a:endParaRPr lang="fr-FR"/>
        </a:p>
      </dgm:t>
    </dgm:pt>
    <dgm:pt modelId="{6C008023-4B5D-421B-A7B5-AE64EE712F5C}" type="pres">
      <dgm:prSet presAssocID="{59E9629F-3BEF-403A-9431-28662BB0650D}" presName="aSpace2" presStyleCnt="0"/>
      <dgm:spPr/>
      <dgm:t>
        <a:bodyPr/>
        <a:lstStyle/>
        <a:p>
          <a:endParaRPr lang="fr-FR"/>
        </a:p>
      </dgm:t>
    </dgm:pt>
    <dgm:pt modelId="{D2E0A2F4-F9FA-4160-9857-E480BD786A42}" type="pres">
      <dgm:prSet presAssocID="{8CEFB9F2-7846-4836-AE15-C1C41333C7C3}" presName="childNode" presStyleLbl="node1" presStyleIdx="4" presStyleCnt="10">
        <dgm:presLayoutVars>
          <dgm:bulletEnabled val="1"/>
        </dgm:presLayoutVars>
      </dgm:prSet>
      <dgm:spPr/>
      <dgm:t>
        <a:bodyPr/>
        <a:lstStyle/>
        <a:p>
          <a:endParaRPr lang="fr-FR"/>
        </a:p>
      </dgm:t>
    </dgm:pt>
    <dgm:pt modelId="{ED299B1C-3639-4AAB-96E9-B50C829DA4D6}" type="pres">
      <dgm:prSet presAssocID="{58C00718-70B1-4637-9A86-9F73DE6D3B9C}" presName="aSpace" presStyleCnt="0"/>
      <dgm:spPr/>
      <dgm:t>
        <a:bodyPr/>
        <a:lstStyle/>
        <a:p>
          <a:endParaRPr lang="fr-FR"/>
        </a:p>
      </dgm:t>
    </dgm:pt>
    <dgm:pt modelId="{2FB93FEC-2E0F-41B2-B308-88D1A912CBAC}" type="pres">
      <dgm:prSet presAssocID="{637694D7-ED6F-4B25-AF3C-0F711F2C97B8}" presName="compNode" presStyleCnt="0"/>
      <dgm:spPr/>
      <dgm:t>
        <a:bodyPr/>
        <a:lstStyle/>
        <a:p>
          <a:endParaRPr lang="fr-FR"/>
        </a:p>
      </dgm:t>
    </dgm:pt>
    <dgm:pt modelId="{992A270B-6624-4A39-903A-167299AEBB21}" type="pres">
      <dgm:prSet presAssocID="{637694D7-ED6F-4B25-AF3C-0F711F2C97B8}" presName="aNode" presStyleLbl="bgShp" presStyleIdx="2" presStyleCnt="4"/>
      <dgm:spPr/>
      <dgm:t>
        <a:bodyPr/>
        <a:lstStyle/>
        <a:p>
          <a:endParaRPr lang="fr-FR"/>
        </a:p>
      </dgm:t>
    </dgm:pt>
    <dgm:pt modelId="{045D1D69-80A4-4351-8A9C-4FE753E66CEE}" type="pres">
      <dgm:prSet presAssocID="{637694D7-ED6F-4B25-AF3C-0F711F2C97B8}" presName="textNode" presStyleLbl="bgShp" presStyleIdx="2" presStyleCnt="4"/>
      <dgm:spPr/>
      <dgm:t>
        <a:bodyPr/>
        <a:lstStyle/>
        <a:p>
          <a:endParaRPr lang="fr-FR"/>
        </a:p>
      </dgm:t>
    </dgm:pt>
    <dgm:pt modelId="{FFE05AE9-30C6-4464-8251-992D22886158}" type="pres">
      <dgm:prSet presAssocID="{637694D7-ED6F-4B25-AF3C-0F711F2C97B8}" presName="compChildNode" presStyleCnt="0"/>
      <dgm:spPr/>
      <dgm:t>
        <a:bodyPr/>
        <a:lstStyle/>
        <a:p>
          <a:endParaRPr lang="fr-FR"/>
        </a:p>
      </dgm:t>
    </dgm:pt>
    <dgm:pt modelId="{F9E69280-7510-4920-9116-F08FCB5788B0}" type="pres">
      <dgm:prSet presAssocID="{637694D7-ED6F-4B25-AF3C-0F711F2C97B8}" presName="theInnerList" presStyleCnt="0"/>
      <dgm:spPr/>
      <dgm:t>
        <a:bodyPr/>
        <a:lstStyle/>
        <a:p>
          <a:endParaRPr lang="fr-FR"/>
        </a:p>
      </dgm:t>
    </dgm:pt>
    <dgm:pt modelId="{0F632222-7F03-4DFB-B997-2446B038498E}" type="pres">
      <dgm:prSet presAssocID="{EE1C4677-8CD6-42A0-BC15-36F40FE74827}" presName="childNode" presStyleLbl="node1" presStyleIdx="5" presStyleCnt="10" custLinFactNeighborX="-1888">
        <dgm:presLayoutVars>
          <dgm:bulletEnabled val="1"/>
        </dgm:presLayoutVars>
      </dgm:prSet>
      <dgm:spPr/>
      <dgm:t>
        <a:bodyPr/>
        <a:lstStyle/>
        <a:p>
          <a:endParaRPr lang="fr-FR"/>
        </a:p>
      </dgm:t>
    </dgm:pt>
    <dgm:pt modelId="{DC1C3FC8-D405-4AAD-8D00-C1501ECD2EC5}" type="pres">
      <dgm:prSet presAssocID="{EE1C4677-8CD6-42A0-BC15-36F40FE74827}" presName="aSpace2" presStyleCnt="0"/>
      <dgm:spPr/>
      <dgm:t>
        <a:bodyPr/>
        <a:lstStyle/>
        <a:p>
          <a:endParaRPr lang="fr-FR"/>
        </a:p>
      </dgm:t>
    </dgm:pt>
    <dgm:pt modelId="{92271719-EA34-4472-AC0F-763DA31E604B}" type="pres">
      <dgm:prSet presAssocID="{2D5B7799-03BD-4545-8944-2A0BDC86A54A}" presName="childNode" presStyleLbl="node1" presStyleIdx="6" presStyleCnt="10">
        <dgm:presLayoutVars>
          <dgm:bulletEnabled val="1"/>
        </dgm:presLayoutVars>
      </dgm:prSet>
      <dgm:spPr/>
      <dgm:t>
        <a:bodyPr/>
        <a:lstStyle/>
        <a:p>
          <a:endParaRPr lang="fr-FR"/>
        </a:p>
      </dgm:t>
    </dgm:pt>
    <dgm:pt modelId="{72EA16F5-7707-4D12-8608-CC81E262B7B3}" type="pres">
      <dgm:prSet presAssocID="{2D5B7799-03BD-4545-8944-2A0BDC86A54A}" presName="aSpace2" presStyleCnt="0"/>
      <dgm:spPr/>
      <dgm:t>
        <a:bodyPr/>
        <a:lstStyle/>
        <a:p>
          <a:endParaRPr lang="fr-FR"/>
        </a:p>
      </dgm:t>
    </dgm:pt>
    <dgm:pt modelId="{8063B373-F597-4659-BBE3-49E1148D6AC9}" type="pres">
      <dgm:prSet presAssocID="{A5F1F413-9064-45A0-9C91-33E53FB69C24}" presName="childNode" presStyleLbl="node1" presStyleIdx="7" presStyleCnt="10">
        <dgm:presLayoutVars>
          <dgm:bulletEnabled val="1"/>
        </dgm:presLayoutVars>
      </dgm:prSet>
      <dgm:spPr/>
      <dgm:t>
        <a:bodyPr/>
        <a:lstStyle/>
        <a:p>
          <a:endParaRPr lang="fr-FR"/>
        </a:p>
      </dgm:t>
    </dgm:pt>
    <dgm:pt modelId="{F4617E60-86F8-4502-A779-156C7904A4CB}" type="pres">
      <dgm:prSet presAssocID="{637694D7-ED6F-4B25-AF3C-0F711F2C97B8}" presName="aSpace" presStyleCnt="0"/>
      <dgm:spPr/>
      <dgm:t>
        <a:bodyPr/>
        <a:lstStyle/>
        <a:p>
          <a:endParaRPr lang="fr-FR"/>
        </a:p>
      </dgm:t>
    </dgm:pt>
    <dgm:pt modelId="{44299E50-4634-4DE4-8F72-26C68C413ACC}" type="pres">
      <dgm:prSet presAssocID="{31283003-F152-4D7D-855A-58EA044281FB}" presName="compNode" presStyleCnt="0"/>
      <dgm:spPr/>
      <dgm:t>
        <a:bodyPr/>
        <a:lstStyle/>
        <a:p>
          <a:endParaRPr lang="fr-FR"/>
        </a:p>
      </dgm:t>
    </dgm:pt>
    <dgm:pt modelId="{FC03C9B2-9104-4A2C-AD64-305149236173}" type="pres">
      <dgm:prSet presAssocID="{31283003-F152-4D7D-855A-58EA044281FB}" presName="aNode" presStyleLbl="bgShp" presStyleIdx="3" presStyleCnt="4"/>
      <dgm:spPr/>
      <dgm:t>
        <a:bodyPr/>
        <a:lstStyle/>
        <a:p>
          <a:endParaRPr lang="fr-FR"/>
        </a:p>
      </dgm:t>
    </dgm:pt>
    <dgm:pt modelId="{B79B3325-15F9-47A2-9E2B-15362B70AF82}" type="pres">
      <dgm:prSet presAssocID="{31283003-F152-4D7D-855A-58EA044281FB}" presName="textNode" presStyleLbl="bgShp" presStyleIdx="3" presStyleCnt="4"/>
      <dgm:spPr/>
      <dgm:t>
        <a:bodyPr/>
        <a:lstStyle/>
        <a:p>
          <a:endParaRPr lang="fr-FR"/>
        </a:p>
      </dgm:t>
    </dgm:pt>
    <dgm:pt modelId="{5A15EC88-C607-49DC-966E-681233438F11}" type="pres">
      <dgm:prSet presAssocID="{31283003-F152-4D7D-855A-58EA044281FB}" presName="compChildNode" presStyleCnt="0"/>
      <dgm:spPr/>
      <dgm:t>
        <a:bodyPr/>
        <a:lstStyle/>
        <a:p>
          <a:endParaRPr lang="fr-FR"/>
        </a:p>
      </dgm:t>
    </dgm:pt>
    <dgm:pt modelId="{0DA6A6D9-F70E-4CE1-8826-979ACA249462}" type="pres">
      <dgm:prSet presAssocID="{31283003-F152-4D7D-855A-58EA044281FB}" presName="theInnerList" presStyleCnt="0"/>
      <dgm:spPr/>
      <dgm:t>
        <a:bodyPr/>
        <a:lstStyle/>
        <a:p>
          <a:endParaRPr lang="fr-FR"/>
        </a:p>
      </dgm:t>
    </dgm:pt>
    <dgm:pt modelId="{95433862-0AE8-451E-A901-E3FB79DC47D4}" type="pres">
      <dgm:prSet presAssocID="{9102284A-2027-418F-9DC8-4909BDFEFCDB}" presName="childNode" presStyleLbl="node1" presStyleIdx="8" presStyleCnt="10">
        <dgm:presLayoutVars>
          <dgm:bulletEnabled val="1"/>
        </dgm:presLayoutVars>
      </dgm:prSet>
      <dgm:spPr/>
      <dgm:t>
        <a:bodyPr/>
        <a:lstStyle/>
        <a:p>
          <a:endParaRPr lang="fr-FR"/>
        </a:p>
      </dgm:t>
    </dgm:pt>
    <dgm:pt modelId="{B5B59A6C-6CBA-4891-A69A-6637F0E97584}" type="pres">
      <dgm:prSet presAssocID="{9102284A-2027-418F-9DC8-4909BDFEFCDB}" presName="aSpace2" presStyleCnt="0"/>
      <dgm:spPr/>
      <dgm:t>
        <a:bodyPr/>
        <a:lstStyle/>
        <a:p>
          <a:endParaRPr lang="fr-FR"/>
        </a:p>
      </dgm:t>
    </dgm:pt>
    <dgm:pt modelId="{AA35B6A2-5840-4823-8458-00100F024974}" type="pres">
      <dgm:prSet presAssocID="{5D912D71-6E65-43C2-9BB1-FA1CAE527553}" presName="childNode" presStyleLbl="node1" presStyleIdx="9" presStyleCnt="10">
        <dgm:presLayoutVars>
          <dgm:bulletEnabled val="1"/>
        </dgm:presLayoutVars>
      </dgm:prSet>
      <dgm:spPr/>
      <dgm:t>
        <a:bodyPr/>
        <a:lstStyle/>
        <a:p>
          <a:endParaRPr lang="fr-FR"/>
        </a:p>
      </dgm:t>
    </dgm:pt>
  </dgm:ptLst>
  <dgm:cxnLst>
    <dgm:cxn modelId="{2DBD97EE-C986-48BB-8515-B765694A8232}" type="presOf" srcId="{EE1C4677-8CD6-42A0-BC15-36F40FE74827}" destId="{0F632222-7F03-4DFB-B997-2446B038498E}" srcOrd="0" destOrd="0" presId="urn:microsoft.com/office/officeart/2005/8/layout/lProcess2"/>
    <dgm:cxn modelId="{23ABD3A4-0AF9-42C0-AF91-C07D4ACC61DC}" type="presOf" srcId="{637694D7-ED6F-4B25-AF3C-0F711F2C97B8}" destId="{992A270B-6624-4A39-903A-167299AEBB21}" srcOrd="0" destOrd="0" presId="urn:microsoft.com/office/officeart/2005/8/layout/lProcess2"/>
    <dgm:cxn modelId="{0BA04EA6-A51E-4BE5-A8A0-165E40A95613}" type="presOf" srcId="{2D5B7799-03BD-4545-8944-2A0BDC86A54A}" destId="{92271719-EA34-4472-AC0F-763DA31E604B}" srcOrd="0" destOrd="0" presId="urn:microsoft.com/office/officeart/2005/8/layout/lProcess2"/>
    <dgm:cxn modelId="{5D591CF6-6D6C-4134-8B28-81150153A0CE}" srcId="{637694D7-ED6F-4B25-AF3C-0F711F2C97B8}" destId="{EE1C4677-8CD6-42A0-BC15-36F40FE74827}" srcOrd="0" destOrd="0" parTransId="{48E3ABAF-D110-461D-A7D7-9D565F5B3C3E}" sibTransId="{1FB02C5B-01B4-4116-B254-432D8095E5AE}"/>
    <dgm:cxn modelId="{63DEA123-9AAF-4FDA-B849-8B07AABE8376}" type="presOf" srcId="{396AC127-F92E-4B45-BA62-5D199150DF4B}" destId="{640A254B-983D-463E-84BD-1661C1DEE37E}" srcOrd="0" destOrd="0" presId="urn:microsoft.com/office/officeart/2005/8/layout/lProcess2"/>
    <dgm:cxn modelId="{8B7DEFF1-24FF-4478-A5C6-7D9A3F12034C}" type="presOf" srcId="{59E9629F-3BEF-403A-9431-28662BB0650D}" destId="{0BE8791C-EC8B-4CF6-AE77-38E220F42607}" srcOrd="0" destOrd="0" presId="urn:microsoft.com/office/officeart/2005/8/layout/lProcess2"/>
    <dgm:cxn modelId="{55EE97B5-2A22-4F9F-ABA7-798AB588DFB0}" srcId="{31283003-F152-4D7D-855A-58EA044281FB}" destId="{9102284A-2027-418F-9DC8-4909BDFEFCDB}" srcOrd="0" destOrd="0" parTransId="{C70DC7C8-6E58-4E75-A1E5-E5432A859173}" sibTransId="{16540B32-92F2-4755-A3C5-61C03EC6440C}"/>
    <dgm:cxn modelId="{A92EC7EE-D48D-46B9-9DE9-3F22E87D3E5A}" type="presOf" srcId="{637694D7-ED6F-4B25-AF3C-0F711F2C97B8}" destId="{045D1D69-80A4-4351-8A9C-4FE753E66CEE}" srcOrd="1" destOrd="0" presId="urn:microsoft.com/office/officeart/2005/8/layout/lProcess2"/>
    <dgm:cxn modelId="{A85877AD-AF56-4772-982D-DCCA5AD4C7E9}" srcId="{31283003-F152-4D7D-855A-58EA044281FB}" destId="{5D912D71-6E65-43C2-9BB1-FA1CAE527553}" srcOrd="1" destOrd="0" parTransId="{5426CAF9-D1EB-40B8-8EA6-ED0E6E7580FE}" sibTransId="{385BD422-FEAD-48B8-A197-8046FCE81D06}"/>
    <dgm:cxn modelId="{5A540DFD-2CA3-49DB-8C21-7578DCD1EE97}" type="presOf" srcId="{3F7297D2-B9C6-45A3-A70A-227801C7033C}" destId="{A8728705-1960-4E67-A48F-1F1BA1C5172C}" srcOrd="0" destOrd="0" presId="urn:microsoft.com/office/officeart/2005/8/layout/lProcess2"/>
    <dgm:cxn modelId="{311B989E-157D-40C8-A7F9-F7EE373A469B}" srcId="{97676B6C-61DD-44C3-89A8-AA016ADE0047}" destId="{396AC127-F92E-4B45-BA62-5D199150DF4B}" srcOrd="0" destOrd="0" parTransId="{BCC76E32-2AF3-488C-B061-9F9337B84139}" sibTransId="{4CF2526D-54CD-46E5-A61C-46F8969F2085}"/>
    <dgm:cxn modelId="{3D4C6575-1513-4EA7-B2AB-D2499609A8AB}" srcId="{928613E0-FA24-4D4E-80F1-D0D1BFA50B9F}" destId="{637694D7-ED6F-4B25-AF3C-0F711F2C97B8}" srcOrd="2" destOrd="0" parTransId="{4A915957-F5E8-4461-9637-2DA09FFA2B71}" sibTransId="{6788F770-B30F-4CB3-BD9E-1D43B72916F6}"/>
    <dgm:cxn modelId="{815679F0-BB48-4B3C-99A5-CDA98EFA129A}" type="presOf" srcId="{817B5E0B-4A26-4603-8623-16E63832190E}" destId="{359FEF0E-478C-48B6-B9CE-E85F0931A599}" srcOrd="0" destOrd="0" presId="urn:microsoft.com/office/officeart/2005/8/layout/lProcess2"/>
    <dgm:cxn modelId="{EE41EA0F-3070-4243-AF64-9CF88273A9E6}" srcId="{928613E0-FA24-4D4E-80F1-D0D1BFA50B9F}" destId="{97676B6C-61DD-44C3-89A8-AA016ADE0047}" srcOrd="0" destOrd="0" parTransId="{11BF6488-2B17-4DDD-9C4A-518B395F9830}" sibTransId="{10F80308-049F-47CF-AEE5-AE2DB1832112}"/>
    <dgm:cxn modelId="{04EE0D6A-5438-423B-8752-B038B521F0E0}" type="presOf" srcId="{97676B6C-61DD-44C3-89A8-AA016ADE0047}" destId="{66469366-0E99-4D91-938A-BF1A480576D3}" srcOrd="0" destOrd="0" presId="urn:microsoft.com/office/officeart/2005/8/layout/lProcess2"/>
    <dgm:cxn modelId="{54E3621C-4A2E-4F5F-98AE-2C6B6484DE69}" type="presOf" srcId="{58C00718-70B1-4637-9A86-9F73DE6D3B9C}" destId="{8CF3F5BF-94A7-4D43-93D6-275994BADE25}" srcOrd="0" destOrd="0" presId="urn:microsoft.com/office/officeart/2005/8/layout/lProcess2"/>
    <dgm:cxn modelId="{6D412ED0-4106-4A93-A11C-A2CC6DC9D0B4}" srcId="{97676B6C-61DD-44C3-89A8-AA016ADE0047}" destId="{817B5E0B-4A26-4603-8623-16E63832190E}" srcOrd="1" destOrd="0" parTransId="{E06DF9AC-3074-4786-BF34-36416C85EDFF}" sibTransId="{67BF946D-A37D-4E42-B5AE-13896187580F}"/>
    <dgm:cxn modelId="{34413F28-D712-4A99-BA4F-48414122BD75}" srcId="{928613E0-FA24-4D4E-80F1-D0D1BFA50B9F}" destId="{58C00718-70B1-4637-9A86-9F73DE6D3B9C}" srcOrd="1" destOrd="0" parTransId="{0AEC919C-8D5C-439B-B6DF-B13C1CA8E06A}" sibTransId="{CA8A4B65-0AE0-453C-B782-313ED92B851F}"/>
    <dgm:cxn modelId="{B9A6B6E9-7FF7-49DF-B454-9CA126137CCF}" srcId="{58C00718-70B1-4637-9A86-9F73DE6D3B9C}" destId="{8CEFB9F2-7846-4836-AE15-C1C41333C7C3}" srcOrd="1" destOrd="0" parTransId="{D42E7C13-9249-4CDF-B575-BBC40DF50017}" sibTransId="{7AC25776-F645-474E-A957-DD67C080BC9F}"/>
    <dgm:cxn modelId="{BF68C2C1-3291-43DC-A9E7-4647DC0ADDDE}" type="presOf" srcId="{928613E0-FA24-4D4E-80F1-D0D1BFA50B9F}" destId="{007C58EF-8CCA-4347-A184-0DCF34E13F06}" srcOrd="0" destOrd="0" presId="urn:microsoft.com/office/officeart/2005/8/layout/lProcess2"/>
    <dgm:cxn modelId="{49FA832C-2EBA-411C-9CDD-43D02271EB79}" type="presOf" srcId="{8CEFB9F2-7846-4836-AE15-C1C41333C7C3}" destId="{D2E0A2F4-F9FA-4160-9857-E480BD786A42}" srcOrd="0" destOrd="0" presId="urn:microsoft.com/office/officeart/2005/8/layout/lProcess2"/>
    <dgm:cxn modelId="{7B54367A-3771-490D-BC1C-E74F392A11F8}" type="presOf" srcId="{97676B6C-61DD-44C3-89A8-AA016ADE0047}" destId="{9E6B8FD1-BE1C-49E6-BF42-60826BC62D85}" srcOrd="1" destOrd="0" presId="urn:microsoft.com/office/officeart/2005/8/layout/lProcess2"/>
    <dgm:cxn modelId="{1CB425A9-17C2-4F5B-BFFA-9F5B41C2D2BE}" srcId="{928613E0-FA24-4D4E-80F1-D0D1BFA50B9F}" destId="{31283003-F152-4D7D-855A-58EA044281FB}" srcOrd="3" destOrd="0" parTransId="{37CBAA8D-E399-4B73-8C4C-25838A241BC9}" sibTransId="{C1A5F504-CA6D-405F-933A-7CE64E988F0A}"/>
    <dgm:cxn modelId="{DDCC687D-D54E-4C67-8FA1-891FE705A275}" type="presOf" srcId="{31283003-F152-4D7D-855A-58EA044281FB}" destId="{FC03C9B2-9104-4A2C-AD64-305149236173}" srcOrd="0" destOrd="0" presId="urn:microsoft.com/office/officeart/2005/8/layout/lProcess2"/>
    <dgm:cxn modelId="{5C72D2CE-9058-4F12-84F0-9E472A676041}" type="presOf" srcId="{A5F1F413-9064-45A0-9C91-33E53FB69C24}" destId="{8063B373-F597-4659-BBE3-49E1148D6AC9}" srcOrd="0" destOrd="0" presId="urn:microsoft.com/office/officeart/2005/8/layout/lProcess2"/>
    <dgm:cxn modelId="{2A2F6F8A-A388-416D-83CB-EFA51BD9ECF7}" srcId="{637694D7-ED6F-4B25-AF3C-0F711F2C97B8}" destId="{2D5B7799-03BD-4545-8944-2A0BDC86A54A}" srcOrd="1" destOrd="0" parTransId="{2B373738-CB21-4A5B-B06E-FC6E0D4221A4}" sibTransId="{3D0C068D-4B03-47B8-A970-8F059E70811F}"/>
    <dgm:cxn modelId="{AB9FC737-486E-455C-9EAB-D5B67B77157B}" srcId="{637694D7-ED6F-4B25-AF3C-0F711F2C97B8}" destId="{A5F1F413-9064-45A0-9C91-33E53FB69C24}" srcOrd="2" destOrd="0" parTransId="{7045CE4E-CE8C-4789-8794-284B77D5391D}" sibTransId="{3FAF32CB-4B71-4665-8079-E8BB72AADCC3}"/>
    <dgm:cxn modelId="{D79BDC89-C47D-4910-9B2C-BB8D1A63E7A9}" type="presOf" srcId="{58C00718-70B1-4637-9A86-9F73DE6D3B9C}" destId="{652734E4-47E5-4B5A-A0EA-558587E5EDC6}" srcOrd="1" destOrd="0" presId="urn:microsoft.com/office/officeart/2005/8/layout/lProcess2"/>
    <dgm:cxn modelId="{6C969313-29BF-42FE-9AEE-3342019AC0DF}" type="presOf" srcId="{31283003-F152-4D7D-855A-58EA044281FB}" destId="{B79B3325-15F9-47A2-9E2B-15362B70AF82}" srcOrd="1" destOrd="0" presId="urn:microsoft.com/office/officeart/2005/8/layout/lProcess2"/>
    <dgm:cxn modelId="{22DE8260-2F6A-43B8-9E40-61FA10E94A82}" srcId="{97676B6C-61DD-44C3-89A8-AA016ADE0047}" destId="{3F7297D2-B9C6-45A3-A70A-227801C7033C}" srcOrd="2" destOrd="0" parTransId="{6A6A1517-DAC6-4B78-BD73-582A1A1AAD7D}" sibTransId="{8B979CE7-F5EA-4FA1-8FCB-9410FC21BCD3}"/>
    <dgm:cxn modelId="{2FECBCCE-0693-40BA-8BD4-0E22FE4EE857}" srcId="{58C00718-70B1-4637-9A86-9F73DE6D3B9C}" destId="{59E9629F-3BEF-403A-9431-28662BB0650D}" srcOrd="0" destOrd="0" parTransId="{4CC8E27B-F18A-49E4-BD1D-6C9A15787C89}" sibTransId="{545359D2-EF27-438C-B2C7-B8E306245EC8}"/>
    <dgm:cxn modelId="{24D3FDB3-DC78-4484-A6E3-A17E7C51EF9E}" type="presOf" srcId="{9102284A-2027-418F-9DC8-4909BDFEFCDB}" destId="{95433862-0AE8-451E-A901-E3FB79DC47D4}" srcOrd="0" destOrd="0" presId="urn:microsoft.com/office/officeart/2005/8/layout/lProcess2"/>
    <dgm:cxn modelId="{3108EC69-E29A-4C1E-AEB2-078A50B253D9}" type="presOf" srcId="{5D912D71-6E65-43C2-9BB1-FA1CAE527553}" destId="{AA35B6A2-5840-4823-8458-00100F024974}" srcOrd="0" destOrd="0" presId="urn:microsoft.com/office/officeart/2005/8/layout/lProcess2"/>
    <dgm:cxn modelId="{E58C9DD7-C0DF-4460-8654-A3E0F6A9CECE}" type="presParOf" srcId="{007C58EF-8CCA-4347-A184-0DCF34E13F06}" destId="{D0734F69-7FEA-4000-8A4E-492F94112262}" srcOrd="0" destOrd="0" presId="urn:microsoft.com/office/officeart/2005/8/layout/lProcess2"/>
    <dgm:cxn modelId="{8B24BA78-4480-458A-82AE-310AF9EE27D7}" type="presParOf" srcId="{D0734F69-7FEA-4000-8A4E-492F94112262}" destId="{66469366-0E99-4D91-938A-BF1A480576D3}" srcOrd="0" destOrd="0" presId="urn:microsoft.com/office/officeart/2005/8/layout/lProcess2"/>
    <dgm:cxn modelId="{557D96A7-1239-4909-9288-2CB785200787}" type="presParOf" srcId="{D0734F69-7FEA-4000-8A4E-492F94112262}" destId="{9E6B8FD1-BE1C-49E6-BF42-60826BC62D85}" srcOrd="1" destOrd="0" presId="urn:microsoft.com/office/officeart/2005/8/layout/lProcess2"/>
    <dgm:cxn modelId="{2E2316EA-3BDE-4D0E-9563-36FC7A198483}" type="presParOf" srcId="{D0734F69-7FEA-4000-8A4E-492F94112262}" destId="{97F9FB8B-04CA-4892-A94B-920174C73CA0}" srcOrd="2" destOrd="0" presId="urn:microsoft.com/office/officeart/2005/8/layout/lProcess2"/>
    <dgm:cxn modelId="{6A545442-6391-4CF5-BAB3-B15368C7442E}" type="presParOf" srcId="{97F9FB8B-04CA-4892-A94B-920174C73CA0}" destId="{86E82840-BC37-417C-A8D5-FEDD72A1B51C}" srcOrd="0" destOrd="0" presId="urn:microsoft.com/office/officeart/2005/8/layout/lProcess2"/>
    <dgm:cxn modelId="{E48AE737-F80F-44E7-B6A1-458447D88746}" type="presParOf" srcId="{86E82840-BC37-417C-A8D5-FEDD72A1B51C}" destId="{640A254B-983D-463E-84BD-1661C1DEE37E}" srcOrd="0" destOrd="0" presId="urn:microsoft.com/office/officeart/2005/8/layout/lProcess2"/>
    <dgm:cxn modelId="{41EDD160-94C8-49BD-A758-B650D0DD074C}" type="presParOf" srcId="{86E82840-BC37-417C-A8D5-FEDD72A1B51C}" destId="{29C052AC-A822-4D11-B737-6F45FBBF74AC}" srcOrd="1" destOrd="0" presId="urn:microsoft.com/office/officeart/2005/8/layout/lProcess2"/>
    <dgm:cxn modelId="{6A5326DA-57FB-45F6-BD68-2B6B5B1585CE}" type="presParOf" srcId="{86E82840-BC37-417C-A8D5-FEDD72A1B51C}" destId="{359FEF0E-478C-48B6-B9CE-E85F0931A599}" srcOrd="2" destOrd="0" presId="urn:microsoft.com/office/officeart/2005/8/layout/lProcess2"/>
    <dgm:cxn modelId="{0888C02C-50E6-49CC-B684-23E96D926806}" type="presParOf" srcId="{86E82840-BC37-417C-A8D5-FEDD72A1B51C}" destId="{4AE97C94-AD95-49B1-B9EB-15E6628BF799}" srcOrd="3" destOrd="0" presId="urn:microsoft.com/office/officeart/2005/8/layout/lProcess2"/>
    <dgm:cxn modelId="{93654311-A5D5-433B-97F7-E19E3D04794E}" type="presParOf" srcId="{86E82840-BC37-417C-A8D5-FEDD72A1B51C}" destId="{A8728705-1960-4E67-A48F-1F1BA1C5172C}" srcOrd="4" destOrd="0" presId="urn:microsoft.com/office/officeart/2005/8/layout/lProcess2"/>
    <dgm:cxn modelId="{9D5E74AD-4EBA-4024-9E7C-3AE63B7C1EDF}" type="presParOf" srcId="{007C58EF-8CCA-4347-A184-0DCF34E13F06}" destId="{9CBFCF12-A22C-4B55-A327-3B908CED43CC}" srcOrd="1" destOrd="0" presId="urn:microsoft.com/office/officeart/2005/8/layout/lProcess2"/>
    <dgm:cxn modelId="{B4BA8BA9-27BE-4B71-9780-7FC7BE771683}" type="presParOf" srcId="{007C58EF-8CCA-4347-A184-0DCF34E13F06}" destId="{C2F19699-EFE0-4BE8-949C-D989325DFC5B}" srcOrd="2" destOrd="0" presId="urn:microsoft.com/office/officeart/2005/8/layout/lProcess2"/>
    <dgm:cxn modelId="{8A1C615C-9949-4339-A0C4-6B0732FC467F}" type="presParOf" srcId="{C2F19699-EFE0-4BE8-949C-D989325DFC5B}" destId="{8CF3F5BF-94A7-4D43-93D6-275994BADE25}" srcOrd="0" destOrd="0" presId="urn:microsoft.com/office/officeart/2005/8/layout/lProcess2"/>
    <dgm:cxn modelId="{7E72E9E7-6B72-4C79-9084-4E17622CD8D9}" type="presParOf" srcId="{C2F19699-EFE0-4BE8-949C-D989325DFC5B}" destId="{652734E4-47E5-4B5A-A0EA-558587E5EDC6}" srcOrd="1" destOrd="0" presId="urn:microsoft.com/office/officeart/2005/8/layout/lProcess2"/>
    <dgm:cxn modelId="{47818927-0E44-437C-83DD-45E0F534AC71}" type="presParOf" srcId="{C2F19699-EFE0-4BE8-949C-D989325DFC5B}" destId="{805120B6-869A-4FE0-8DC4-18731E0CD3F7}" srcOrd="2" destOrd="0" presId="urn:microsoft.com/office/officeart/2005/8/layout/lProcess2"/>
    <dgm:cxn modelId="{E7D0D2F7-CF3C-440E-99E1-40E3841978CF}" type="presParOf" srcId="{805120B6-869A-4FE0-8DC4-18731E0CD3F7}" destId="{E99BC2D3-8F24-4CF4-A251-0E51C63C7199}" srcOrd="0" destOrd="0" presId="urn:microsoft.com/office/officeart/2005/8/layout/lProcess2"/>
    <dgm:cxn modelId="{3CE30CA6-0AE2-4F6C-B0C5-C0D3753A9A9A}" type="presParOf" srcId="{E99BC2D3-8F24-4CF4-A251-0E51C63C7199}" destId="{0BE8791C-EC8B-4CF6-AE77-38E220F42607}" srcOrd="0" destOrd="0" presId="urn:microsoft.com/office/officeart/2005/8/layout/lProcess2"/>
    <dgm:cxn modelId="{CAA4E886-21B2-48E5-9430-A9A2B3EEA9C6}" type="presParOf" srcId="{E99BC2D3-8F24-4CF4-A251-0E51C63C7199}" destId="{6C008023-4B5D-421B-A7B5-AE64EE712F5C}" srcOrd="1" destOrd="0" presId="urn:microsoft.com/office/officeart/2005/8/layout/lProcess2"/>
    <dgm:cxn modelId="{08600349-2D54-47ED-9B65-B10A53DF6A74}" type="presParOf" srcId="{E99BC2D3-8F24-4CF4-A251-0E51C63C7199}" destId="{D2E0A2F4-F9FA-4160-9857-E480BD786A42}" srcOrd="2" destOrd="0" presId="urn:microsoft.com/office/officeart/2005/8/layout/lProcess2"/>
    <dgm:cxn modelId="{2F7DA472-605E-4938-91F9-CA5266811D94}" type="presParOf" srcId="{007C58EF-8CCA-4347-A184-0DCF34E13F06}" destId="{ED299B1C-3639-4AAB-96E9-B50C829DA4D6}" srcOrd="3" destOrd="0" presId="urn:microsoft.com/office/officeart/2005/8/layout/lProcess2"/>
    <dgm:cxn modelId="{E4FDDBE0-1F89-40A7-8970-2127DBCB2EBC}" type="presParOf" srcId="{007C58EF-8CCA-4347-A184-0DCF34E13F06}" destId="{2FB93FEC-2E0F-41B2-B308-88D1A912CBAC}" srcOrd="4" destOrd="0" presId="urn:microsoft.com/office/officeart/2005/8/layout/lProcess2"/>
    <dgm:cxn modelId="{D9229672-9954-4DD3-9F2C-64BA77A89602}" type="presParOf" srcId="{2FB93FEC-2E0F-41B2-B308-88D1A912CBAC}" destId="{992A270B-6624-4A39-903A-167299AEBB21}" srcOrd="0" destOrd="0" presId="urn:microsoft.com/office/officeart/2005/8/layout/lProcess2"/>
    <dgm:cxn modelId="{B69CF612-CB9D-4F60-8406-8F1D97034901}" type="presParOf" srcId="{2FB93FEC-2E0F-41B2-B308-88D1A912CBAC}" destId="{045D1D69-80A4-4351-8A9C-4FE753E66CEE}" srcOrd="1" destOrd="0" presId="urn:microsoft.com/office/officeart/2005/8/layout/lProcess2"/>
    <dgm:cxn modelId="{671E21CB-50E1-4F55-BB39-694C66B871CD}" type="presParOf" srcId="{2FB93FEC-2E0F-41B2-B308-88D1A912CBAC}" destId="{FFE05AE9-30C6-4464-8251-992D22886158}" srcOrd="2" destOrd="0" presId="urn:microsoft.com/office/officeart/2005/8/layout/lProcess2"/>
    <dgm:cxn modelId="{EEA71C43-A5C2-4084-87F3-AB5199FDCD03}" type="presParOf" srcId="{FFE05AE9-30C6-4464-8251-992D22886158}" destId="{F9E69280-7510-4920-9116-F08FCB5788B0}" srcOrd="0" destOrd="0" presId="urn:microsoft.com/office/officeart/2005/8/layout/lProcess2"/>
    <dgm:cxn modelId="{4161E107-CA19-4B52-BE03-F0195F281D43}" type="presParOf" srcId="{F9E69280-7510-4920-9116-F08FCB5788B0}" destId="{0F632222-7F03-4DFB-B997-2446B038498E}" srcOrd="0" destOrd="0" presId="urn:microsoft.com/office/officeart/2005/8/layout/lProcess2"/>
    <dgm:cxn modelId="{6E6F6D75-DEE9-4AD5-A937-0B521C9F8660}" type="presParOf" srcId="{F9E69280-7510-4920-9116-F08FCB5788B0}" destId="{DC1C3FC8-D405-4AAD-8D00-C1501ECD2EC5}" srcOrd="1" destOrd="0" presId="urn:microsoft.com/office/officeart/2005/8/layout/lProcess2"/>
    <dgm:cxn modelId="{5A921C82-DFD6-4CAD-A83C-90BC9EA01B3C}" type="presParOf" srcId="{F9E69280-7510-4920-9116-F08FCB5788B0}" destId="{92271719-EA34-4472-AC0F-763DA31E604B}" srcOrd="2" destOrd="0" presId="urn:microsoft.com/office/officeart/2005/8/layout/lProcess2"/>
    <dgm:cxn modelId="{38CB198F-CF4B-4AE2-B6C0-0D5B253968BF}" type="presParOf" srcId="{F9E69280-7510-4920-9116-F08FCB5788B0}" destId="{72EA16F5-7707-4D12-8608-CC81E262B7B3}" srcOrd="3" destOrd="0" presId="urn:microsoft.com/office/officeart/2005/8/layout/lProcess2"/>
    <dgm:cxn modelId="{E401966D-3988-4BDA-8FDE-043A5582ED44}" type="presParOf" srcId="{F9E69280-7510-4920-9116-F08FCB5788B0}" destId="{8063B373-F597-4659-BBE3-49E1148D6AC9}" srcOrd="4" destOrd="0" presId="urn:microsoft.com/office/officeart/2005/8/layout/lProcess2"/>
    <dgm:cxn modelId="{4E287FB2-2F7F-457A-BAF9-11A161F81C6F}" type="presParOf" srcId="{007C58EF-8CCA-4347-A184-0DCF34E13F06}" destId="{F4617E60-86F8-4502-A779-156C7904A4CB}" srcOrd="5" destOrd="0" presId="urn:microsoft.com/office/officeart/2005/8/layout/lProcess2"/>
    <dgm:cxn modelId="{8EF3FA8C-0789-423B-92D4-0FA6FAD45B86}" type="presParOf" srcId="{007C58EF-8CCA-4347-A184-0DCF34E13F06}" destId="{44299E50-4634-4DE4-8F72-26C68C413ACC}" srcOrd="6" destOrd="0" presId="urn:microsoft.com/office/officeart/2005/8/layout/lProcess2"/>
    <dgm:cxn modelId="{A4ABF1A8-71CA-4425-A5E5-23983D24D1D3}" type="presParOf" srcId="{44299E50-4634-4DE4-8F72-26C68C413ACC}" destId="{FC03C9B2-9104-4A2C-AD64-305149236173}" srcOrd="0" destOrd="0" presId="urn:microsoft.com/office/officeart/2005/8/layout/lProcess2"/>
    <dgm:cxn modelId="{38F37A28-DBFB-4ACC-AB31-9446E7655FEF}" type="presParOf" srcId="{44299E50-4634-4DE4-8F72-26C68C413ACC}" destId="{B79B3325-15F9-47A2-9E2B-15362B70AF82}" srcOrd="1" destOrd="0" presId="urn:microsoft.com/office/officeart/2005/8/layout/lProcess2"/>
    <dgm:cxn modelId="{FCD48CB3-8E1B-469B-914D-6CD94A61B137}" type="presParOf" srcId="{44299E50-4634-4DE4-8F72-26C68C413ACC}" destId="{5A15EC88-C607-49DC-966E-681233438F11}" srcOrd="2" destOrd="0" presId="urn:microsoft.com/office/officeart/2005/8/layout/lProcess2"/>
    <dgm:cxn modelId="{B180C9F0-E071-487D-B8A1-160B8F1EE62D}" type="presParOf" srcId="{5A15EC88-C607-49DC-966E-681233438F11}" destId="{0DA6A6D9-F70E-4CE1-8826-979ACA249462}" srcOrd="0" destOrd="0" presId="urn:microsoft.com/office/officeart/2005/8/layout/lProcess2"/>
    <dgm:cxn modelId="{C540073E-2F9F-4BB7-8372-329A9902BA43}" type="presParOf" srcId="{0DA6A6D9-F70E-4CE1-8826-979ACA249462}" destId="{95433862-0AE8-451E-A901-E3FB79DC47D4}" srcOrd="0" destOrd="0" presId="urn:microsoft.com/office/officeart/2005/8/layout/lProcess2"/>
    <dgm:cxn modelId="{3E859BF6-9D51-4BCF-AA6A-965D84600B01}" type="presParOf" srcId="{0DA6A6D9-F70E-4CE1-8826-979ACA249462}" destId="{B5B59A6C-6CBA-4891-A69A-6637F0E97584}" srcOrd="1" destOrd="0" presId="urn:microsoft.com/office/officeart/2005/8/layout/lProcess2"/>
    <dgm:cxn modelId="{CF6D2982-45F0-4EF8-B900-2EB5DA90649C}" type="presParOf" srcId="{0DA6A6D9-F70E-4CE1-8826-979ACA249462}" destId="{AA35B6A2-5840-4823-8458-00100F024974}" srcOrd="2" destOrd="0" presId="urn:microsoft.com/office/officeart/2005/8/layout/lProcess2"/>
  </dgm:cxnLst>
  <dgm:bg>
    <a:noFill/>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A6F7BE-D375-48C8-8A05-BD3756E6B379}" type="doc">
      <dgm:prSet loTypeId="urn:microsoft.com/office/officeart/2005/8/layout/vList2" loCatId="list" qsTypeId="urn:microsoft.com/office/officeart/2005/8/quickstyle/simple5" qsCatId="simple" csTypeId="urn:microsoft.com/office/officeart/2005/8/colors/accent0_1" csCatId="mainScheme" phldr="1"/>
      <dgm:spPr/>
      <dgm:t>
        <a:bodyPr/>
        <a:lstStyle/>
        <a:p>
          <a:endParaRPr lang="fr-FR"/>
        </a:p>
      </dgm:t>
    </dgm:pt>
    <dgm:pt modelId="{DD82BA85-56F4-45F2-8EA7-E762A0C8E78D}">
      <dgm:prSet phldrT="[Texte]"/>
      <dgm:spPr/>
      <dgm:t>
        <a:bodyPr/>
        <a:lstStyle/>
        <a:p>
          <a:pPr algn="ctr"/>
          <a:r>
            <a:rPr lang="fr-FR"/>
            <a:t>Veille-info ;  Communication </a:t>
          </a:r>
        </a:p>
      </dgm:t>
    </dgm:pt>
    <dgm:pt modelId="{C0AEE1A2-9365-48EE-85E0-E5D0A1D2F093}" type="parTrans" cxnId="{6D66CF4C-F1A1-4A67-B6CD-E473F534A1D8}">
      <dgm:prSet/>
      <dgm:spPr/>
      <dgm:t>
        <a:bodyPr/>
        <a:lstStyle/>
        <a:p>
          <a:endParaRPr lang="fr-FR"/>
        </a:p>
      </dgm:t>
    </dgm:pt>
    <dgm:pt modelId="{3F352616-7EC6-4BBB-80AB-17EF9966D97C}" type="sibTrans" cxnId="{6D66CF4C-F1A1-4A67-B6CD-E473F534A1D8}">
      <dgm:prSet/>
      <dgm:spPr/>
      <dgm:t>
        <a:bodyPr/>
        <a:lstStyle/>
        <a:p>
          <a:endParaRPr lang="fr-FR"/>
        </a:p>
      </dgm:t>
    </dgm:pt>
    <dgm:pt modelId="{70AD6053-32F5-408E-9D98-EFDBA6D38A44}">
      <dgm:prSet phldrT="[Texte]"/>
      <dgm:spPr/>
      <dgm:t>
        <a:bodyPr/>
        <a:lstStyle/>
        <a:p>
          <a:pPr algn="ctr"/>
          <a:r>
            <a:rPr lang="fr-FR"/>
            <a:t>Qualité - certification , indicateurs (performance et suivi)</a:t>
          </a:r>
        </a:p>
      </dgm:t>
    </dgm:pt>
    <dgm:pt modelId="{5F60BEA4-DC51-409F-9266-6DDDF1F3B09B}" type="parTrans" cxnId="{7563A130-1B32-49F9-834E-A5609E3E9446}">
      <dgm:prSet/>
      <dgm:spPr/>
      <dgm:t>
        <a:bodyPr/>
        <a:lstStyle/>
        <a:p>
          <a:endParaRPr lang="fr-FR"/>
        </a:p>
      </dgm:t>
    </dgm:pt>
    <dgm:pt modelId="{40E91160-3AF8-44A6-822C-828A94AFB4E9}" type="sibTrans" cxnId="{7563A130-1B32-49F9-834E-A5609E3E9446}">
      <dgm:prSet/>
      <dgm:spPr/>
      <dgm:t>
        <a:bodyPr/>
        <a:lstStyle/>
        <a:p>
          <a:endParaRPr lang="fr-FR"/>
        </a:p>
      </dgm:t>
    </dgm:pt>
    <dgm:pt modelId="{2B548C64-29FD-45CC-ABF4-1AB668359944}" type="pres">
      <dgm:prSet presAssocID="{D8A6F7BE-D375-48C8-8A05-BD3756E6B379}" presName="linear" presStyleCnt="0">
        <dgm:presLayoutVars>
          <dgm:animLvl val="lvl"/>
          <dgm:resizeHandles val="exact"/>
        </dgm:presLayoutVars>
      </dgm:prSet>
      <dgm:spPr/>
      <dgm:t>
        <a:bodyPr/>
        <a:lstStyle/>
        <a:p>
          <a:endParaRPr lang="fr-FR"/>
        </a:p>
      </dgm:t>
    </dgm:pt>
    <dgm:pt modelId="{E110E17A-A885-4ACF-8348-F9397F0269FD}" type="pres">
      <dgm:prSet presAssocID="{DD82BA85-56F4-45F2-8EA7-E762A0C8E78D}" presName="parentText" presStyleLbl="node1" presStyleIdx="0" presStyleCnt="2">
        <dgm:presLayoutVars>
          <dgm:chMax val="0"/>
          <dgm:bulletEnabled val="1"/>
        </dgm:presLayoutVars>
      </dgm:prSet>
      <dgm:spPr/>
      <dgm:t>
        <a:bodyPr/>
        <a:lstStyle/>
        <a:p>
          <a:endParaRPr lang="fr-FR"/>
        </a:p>
      </dgm:t>
    </dgm:pt>
    <dgm:pt modelId="{AF9B3F76-928F-43DB-973A-6F38A3F71CF9}" type="pres">
      <dgm:prSet presAssocID="{3F352616-7EC6-4BBB-80AB-17EF9966D97C}" presName="spacer" presStyleCnt="0"/>
      <dgm:spPr/>
      <dgm:t>
        <a:bodyPr/>
        <a:lstStyle/>
        <a:p>
          <a:endParaRPr lang="fr-FR"/>
        </a:p>
      </dgm:t>
    </dgm:pt>
    <dgm:pt modelId="{74667303-31B7-4C8B-BDA7-EBBCF9AB71A7}" type="pres">
      <dgm:prSet presAssocID="{70AD6053-32F5-408E-9D98-EFDBA6D38A44}" presName="parentText" presStyleLbl="node1" presStyleIdx="1" presStyleCnt="2">
        <dgm:presLayoutVars>
          <dgm:chMax val="0"/>
          <dgm:bulletEnabled val="1"/>
        </dgm:presLayoutVars>
      </dgm:prSet>
      <dgm:spPr/>
      <dgm:t>
        <a:bodyPr/>
        <a:lstStyle/>
        <a:p>
          <a:endParaRPr lang="fr-FR"/>
        </a:p>
      </dgm:t>
    </dgm:pt>
  </dgm:ptLst>
  <dgm:cxnLst>
    <dgm:cxn modelId="{6D66CF4C-F1A1-4A67-B6CD-E473F534A1D8}" srcId="{D8A6F7BE-D375-48C8-8A05-BD3756E6B379}" destId="{DD82BA85-56F4-45F2-8EA7-E762A0C8E78D}" srcOrd="0" destOrd="0" parTransId="{C0AEE1A2-9365-48EE-85E0-E5D0A1D2F093}" sibTransId="{3F352616-7EC6-4BBB-80AB-17EF9966D97C}"/>
    <dgm:cxn modelId="{7563A130-1B32-49F9-834E-A5609E3E9446}" srcId="{D8A6F7BE-D375-48C8-8A05-BD3756E6B379}" destId="{70AD6053-32F5-408E-9D98-EFDBA6D38A44}" srcOrd="1" destOrd="0" parTransId="{5F60BEA4-DC51-409F-9266-6DDDF1F3B09B}" sibTransId="{40E91160-3AF8-44A6-822C-828A94AFB4E9}"/>
    <dgm:cxn modelId="{800F74E5-22F2-466D-82CA-596E9DD1335F}" type="presOf" srcId="{70AD6053-32F5-408E-9D98-EFDBA6D38A44}" destId="{74667303-31B7-4C8B-BDA7-EBBCF9AB71A7}" srcOrd="0" destOrd="0" presId="urn:microsoft.com/office/officeart/2005/8/layout/vList2"/>
    <dgm:cxn modelId="{B2263E99-A231-4823-91FA-F83710690130}" type="presOf" srcId="{D8A6F7BE-D375-48C8-8A05-BD3756E6B379}" destId="{2B548C64-29FD-45CC-ABF4-1AB668359944}" srcOrd="0" destOrd="0" presId="urn:microsoft.com/office/officeart/2005/8/layout/vList2"/>
    <dgm:cxn modelId="{C9525374-8C14-4E63-AD36-D2464CEBDA2D}" type="presOf" srcId="{DD82BA85-56F4-45F2-8EA7-E762A0C8E78D}" destId="{E110E17A-A885-4ACF-8348-F9397F0269FD}" srcOrd="0" destOrd="0" presId="urn:microsoft.com/office/officeart/2005/8/layout/vList2"/>
    <dgm:cxn modelId="{1D5D779E-4371-44FD-B121-BA946A865694}" type="presParOf" srcId="{2B548C64-29FD-45CC-ABF4-1AB668359944}" destId="{E110E17A-A885-4ACF-8348-F9397F0269FD}" srcOrd="0" destOrd="0" presId="urn:microsoft.com/office/officeart/2005/8/layout/vList2"/>
    <dgm:cxn modelId="{325F5BD1-5669-442B-9B05-505086267377}" type="presParOf" srcId="{2B548C64-29FD-45CC-ABF4-1AB668359944}" destId="{AF9B3F76-928F-43DB-973A-6F38A3F71CF9}" srcOrd="1" destOrd="0" presId="urn:microsoft.com/office/officeart/2005/8/layout/vList2"/>
    <dgm:cxn modelId="{5D59E4D6-391B-4BE5-B7F8-6C948AB69549}" type="presParOf" srcId="{2B548C64-29FD-45CC-ABF4-1AB668359944}" destId="{74667303-31B7-4C8B-BDA7-EBBCF9AB71A7}" srcOrd="2" destOrd="0" presId="urn:microsoft.com/office/officeart/2005/8/layout/vList2"/>
  </dgm:cxnLst>
  <dgm:bg>
    <a:noFill/>
  </dgm:bg>
  <dgm:whole>
    <a:ln>
      <a:noFill/>
    </a:ln>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469366-0E99-4D91-938A-BF1A480576D3}">
      <dsp:nvSpPr>
        <dsp:cNvPr id="0" name=""/>
        <dsp:cNvSpPr/>
      </dsp:nvSpPr>
      <dsp:spPr>
        <a:xfrm>
          <a:off x="1131" y="0"/>
          <a:ext cx="1109969" cy="2648310"/>
        </a:xfrm>
        <a:prstGeom prst="roundRect">
          <a:avLst>
            <a:gd name="adj" fmla="val 10000"/>
          </a:avLst>
        </a:prstGeom>
        <a:solidFill>
          <a:schemeClr val="dk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Soutenir la recherche et les partenariats</a:t>
          </a:r>
        </a:p>
      </dsp:txBody>
      <dsp:txXfrm>
        <a:off x="1131" y="0"/>
        <a:ext cx="1109969" cy="794493"/>
      </dsp:txXfrm>
    </dsp:sp>
    <dsp:sp modelId="{640A254B-983D-463E-84BD-1661C1DEE37E}">
      <dsp:nvSpPr>
        <dsp:cNvPr id="0" name=""/>
        <dsp:cNvSpPr/>
      </dsp:nvSpPr>
      <dsp:spPr>
        <a:xfrm>
          <a:off x="112128" y="794719"/>
          <a:ext cx="887975" cy="52028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Sensibilisation </a:t>
          </a:r>
        </a:p>
        <a:p>
          <a:pPr lvl="0" algn="ctr" defTabSz="444500">
            <a:lnSpc>
              <a:spcPct val="90000"/>
            </a:lnSpc>
            <a:spcBef>
              <a:spcPct val="0"/>
            </a:spcBef>
            <a:spcAft>
              <a:spcPct val="35000"/>
            </a:spcAft>
          </a:pPr>
          <a:r>
            <a:rPr lang="fr-FR" sz="1000" kern="1200"/>
            <a:t>Détection</a:t>
          </a:r>
        </a:p>
      </dsp:txBody>
      <dsp:txXfrm>
        <a:off x="112128" y="794719"/>
        <a:ext cx="887975" cy="520286"/>
      </dsp:txXfrm>
    </dsp:sp>
    <dsp:sp modelId="{359FEF0E-478C-48B6-B9CE-E85F0931A599}">
      <dsp:nvSpPr>
        <dsp:cNvPr id="0" name=""/>
        <dsp:cNvSpPr/>
      </dsp:nvSpPr>
      <dsp:spPr>
        <a:xfrm>
          <a:off x="112128" y="1395050"/>
          <a:ext cx="887975" cy="52028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Collaborations</a:t>
          </a:r>
        </a:p>
      </dsp:txBody>
      <dsp:txXfrm>
        <a:off x="112128" y="1395050"/>
        <a:ext cx="887975" cy="520286"/>
      </dsp:txXfrm>
    </dsp:sp>
    <dsp:sp modelId="{A8728705-1960-4E67-A48F-1F1BA1C5172C}">
      <dsp:nvSpPr>
        <dsp:cNvPr id="0" name=""/>
        <dsp:cNvSpPr/>
      </dsp:nvSpPr>
      <dsp:spPr>
        <a:xfrm>
          <a:off x="99634" y="1990313"/>
          <a:ext cx="887975" cy="52028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Contrats multi-partenaires</a:t>
          </a:r>
        </a:p>
      </dsp:txBody>
      <dsp:txXfrm>
        <a:off x="99634" y="1990313"/>
        <a:ext cx="887975" cy="520286"/>
      </dsp:txXfrm>
    </dsp:sp>
    <dsp:sp modelId="{8CF3F5BF-94A7-4D43-93D6-275994BADE25}">
      <dsp:nvSpPr>
        <dsp:cNvPr id="0" name=""/>
        <dsp:cNvSpPr/>
      </dsp:nvSpPr>
      <dsp:spPr>
        <a:xfrm>
          <a:off x="1194348" y="0"/>
          <a:ext cx="1109969" cy="2648310"/>
        </a:xfrm>
        <a:prstGeom prst="roundRect">
          <a:avLst>
            <a:gd name="adj" fmla="val 10000"/>
          </a:avLst>
        </a:prstGeom>
        <a:solidFill>
          <a:schemeClr val="dk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Assurer la protection des résultats</a:t>
          </a:r>
        </a:p>
      </dsp:txBody>
      <dsp:txXfrm>
        <a:off x="1194348" y="0"/>
        <a:ext cx="1109969" cy="794493"/>
      </dsp:txXfrm>
    </dsp:sp>
    <dsp:sp modelId="{0BE8791C-EC8B-4CF6-AE77-38E220F42607}">
      <dsp:nvSpPr>
        <dsp:cNvPr id="0" name=""/>
        <dsp:cNvSpPr/>
      </dsp:nvSpPr>
      <dsp:spPr>
        <a:xfrm>
          <a:off x="1305345" y="795268"/>
          <a:ext cx="887975" cy="79850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Dépôts des titres de PI</a:t>
          </a:r>
        </a:p>
      </dsp:txBody>
      <dsp:txXfrm>
        <a:off x="1305345" y="795268"/>
        <a:ext cx="887975" cy="798501"/>
      </dsp:txXfrm>
    </dsp:sp>
    <dsp:sp modelId="{D2E0A2F4-F9FA-4160-9857-E480BD786A42}">
      <dsp:nvSpPr>
        <dsp:cNvPr id="0" name=""/>
        <dsp:cNvSpPr/>
      </dsp:nvSpPr>
      <dsp:spPr>
        <a:xfrm>
          <a:off x="1305345" y="1716616"/>
          <a:ext cx="887975" cy="79850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Gestion du portefeuille </a:t>
          </a:r>
        </a:p>
      </dsp:txBody>
      <dsp:txXfrm>
        <a:off x="1305345" y="1716616"/>
        <a:ext cx="887975" cy="798501"/>
      </dsp:txXfrm>
    </dsp:sp>
    <dsp:sp modelId="{992A270B-6624-4A39-903A-167299AEBB21}">
      <dsp:nvSpPr>
        <dsp:cNvPr id="0" name=""/>
        <dsp:cNvSpPr/>
      </dsp:nvSpPr>
      <dsp:spPr>
        <a:xfrm>
          <a:off x="2387565" y="0"/>
          <a:ext cx="1109969" cy="2648310"/>
        </a:xfrm>
        <a:prstGeom prst="roundRect">
          <a:avLst>
            <a:gd name="adj" fmla="val 10000"/>
          </a:avLst>
        </a:prstGeom>
        <a:solidFill>
          <a:schemeClr val="dk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Piloter et marketer le développement technologique</a:t>
          </a:r>
        </a:p>
      </dsp:txBody>
      <dsp:txXfrm>
        <a:off x="2387565" y="0"/>
        <a:ext cx="1109969" cy="794493"/>
      </dsp:txXfrm>
    </dsp:sp>
    <dsp:sp modelId="{0F632222-7F03-4DFB-B997-2446B038498E}">
      <dsp:nvSpPr>
        <dsp:cNvPr id="0" name=""/>
        <dsp:cNvSpPr/>
      </dsp:nvSpPr>
      <dsp:spPr>
        <a:xfrm>
          <a:off x="2481797" y="794719"/>
          <a:ext cx="887975" cy="52028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Preuve de concept</a:t>
          </a:r>
        </a:p>
      </dsp:txBody>
      <dsp:txXfrm>
        <a:off x="2481797" y="794719"/>
        <a:ext cx="887975" cy="520286"/>
      </dsp:txXfrm>
    </dsp:sp>
    <dsp:sp modelId="{92271719-EA34-4472-AC0F-763DA31E604B}">
      <dsp:nvSpPr>
        <dsp:cNvPr id="0" name=""/>
        <dsp:cNvSpPr/>
      </dsp:nvSpPr>
      <dsp:spPr>
        <a:xfrm>
          <a:off x="2498562" y="1395050"/>
          <a:ext cx="887975" cy="52028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Prototypes</a:t>
          </a:r>
        </a:p>
      </dsp:txBody>
      <dsp:txXfrm>
        <a:off x="2498562" y="1395050"/>
        <a:ext cx="887975" cy="520286"/>
      </dsp:txXfrm>
    </dsp:sp>
    <dsp:sp modelId="{8063B373-F597-4659-BBE3-49E1148D6AC9}">
      <dsp:nvSpPr>
        <dsp:cNvPr id="0" name=""/>
        <dsp:cNvSpPr/>
      </dsp:nvSpPr>
      <dsp:spPr>
        <a:xfrm>
          <a:off x="2498562" y="1995381"/>
          <a:ext cx="887975" cy="52028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Business Units</a:t>
          </a:r>
        </a:p>
      </dsp:txBody>
      <dsp:txXfrm>
        <a:off x="2498562" y="1995381"/>
        <a:ext cx="887975" cy="520286"/>
      </dsp:txXfrm>
    </dsp:sp>
    <dsp:sp modelId="{FC03C9B2-9104-4A2C-AD64-305149236173}">
      <dsp:nvSpPr>
        <dsp:cNvPr id="0" name=""/>
        <dsp:cNvSpPr/>
      </dsp:nvSpPr>
      <dsp:spPr>
        <a:xfrm>
          <a:off x="3580782" y="0"/>
          <a:ext cx="1109969" cy="2648310"/>
        </a:xfrm>
        <a:prstGeom prst="roundRect">
          <a:avLst>
            <a:gd name="adj" fmla="val 10000"/>
          </a:avLst>
        </a:prstGeom>
        <a:solidFill>
          <a:schemeClr val="dk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Transférer les inventions</a:t>
          </a:r>
        </a:p>
      </dsp:txBody>
      <dsp:txXfrm>
        <a:off x="3580782" y="0"/>
        <a:ext cx="1109969" cy="794493"/>
      </dsp:txXfrm>
    </dsp:sp>
    <dsp:sp modelId="{95433862-0AE8-451E-A901-E3FB79DC47D4}">
      <dsp:nvSpPr>
        <dsp:cNvPr id="0" name=""/>
        <dsp:cNvSpPr/>
      </dsp:nvSpPr>
      <dsp:spPr>
        <a:xfrm>
          <a:off x="3691779" y="795268"/>
          <a:ext cx="887975" cy="79850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Licensing out</a:t>
          </a:r>
        </a:p>
      </dsp:txBody>
      <dsp:txXfrm>
        <a:off x="3691779" y="795268"/>
        <a:ext cx="887975" cy="798501"/>
      </dsp:txXfrm>
    </dsp:sp>
    <dsp:sp modelId="{AA35B6A2-5840-4823-8458-00100F024974}">
      <dsp:nvSpPr>
        <dsp:cNvPr id="0" name=""/>
        <dsp:cNvSpPr/>
      </dsp:nvSpPr>
      <dsp:spPr>
        <a:xfrm>
          <a:off x="3691779" y="1716616"/>
          <a:ext cx="887975" cy="79850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fr-FR" sz="1000" kern="1200"/>
            <a:t>Création d'entreprises</a:t>
          </a:r>
        </a:p>
      </dsp:txBody>
      <dsp:txXfrm>
        <a:off x="3691779" y="1716616"/>
        <a:ext cx="887975" cy="7985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110E17A-A885-4ACF-8348-F9397F0269FD}">
      <dsp:nvSpPr>
        <dsp:cNvPr id="0" name=""/>
        <dsp:cNvSpPr/>
      </dsp:nvSpPr>
      <dsp:spPr>
        <a:xfrm>
          <a:off x="0" y="732"/>
          <a:ext cx="4715378" cy="239850"/>
        </a:xfrm>
        <a:prstGeom prst="round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Veille-info ;  Communication </a:t>
          </a:r>
        </a:p>
      </dsp:txBody>
      <dsp:txXfrm>
        <a:off x="0" y="732"/>
        <a:ext cx="4715378" cy="239850"/>
      </dsp:txXfrm>
    </dsp:sp>
    <dsp:sp modelId="{74667303-31B7-4C8B-BDA7-EBBCF9AB71A7}">
      <dsp:nvSpPr>
        <dsp:cNvPr id="0" name=""/>
        <dsp:cNvSpPr/>
      </dsp:nvSpPr>
      <dsp:spPr>
        <a:xfrm>
          <a:off x="0" y="269382"/>
          <a:ext cx="4715378" cy="239850"/>
        </a:xfrm>
        <a:prstGeom prst="round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Qualité - certification , indicateurs (performance et suivi)</a:t>
          </a:r>
        </a:p>
      </dsp:txBody>
      <dsp:txXfrm>
        <a:off x="0" y="269382"/>
        <a:ext cx="4715378" cy="23985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EC327-8E04-4D35-8ACC-A23CB004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2179</Words>
  <Characters>11988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PENOT</dc:creator>
  <cp:keywords/>
  <dc:description/>
  <cp:lastModifiedBy>Université Nantes Angers Le Mans</cp:lastModifiedBy>
  <cp:revision>6</cp:revision>
  <cp:lastPrinted>2010-10-07T12:29:00Z</cp:lastPrinted>
  <dcterms:created xsi:type="dcterms:W3CDTF">2010-10-07T11:35:00Z</dcterms:created>
  <dcterms:modified xsi:type="dcterms:W3CDTF">2010-10-07T14:07:00Z</dcterms:modified>
</cp:coreProperties>
</file>