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0BDC8" w14:textId="02A1212F" w:rsidR="00963C86" w:rsidRDefault="003570A7" w:rsidP="00550694">
      <w:pPr>
        <w:spacing w:after="0"/>
        <w:jc w:val="center"/>
        <w:rPr>
          <w:b/>
          <w:szCs w:val="22"/>
          <w:lang w:eastAsia="fr-FR"/>
        </w:rPr>
      </w:pPr>
      <w:r w:rsidRPr="00963C86">
        <w:rPr>
          <w:b/>
          <w:szCs w:val="22"/>
          <w:lang w:eastAsia="fr-FR"/>
        </w:rPr>
        <w:t>PROPOSITION DE CLARIFICATION DES RELATIONS SATT-INCUBATEURS-TECHNOPOLES</w:t>
      </w:r>
      <w:r w:rsidR="00550694" w:rsidRPr="00963C86">
        <w:rPr>
          <w:b/>
          <w:szCs w:val="22"/>
          <w:lang w:eastAsia="fr-FR"/>
        </w:rPr>
        <w:t xml:space="preserve"> </w:t>
      </w:r>
    </w:p>
    <w:p w14:paraId="64715B7B" w14:textId="026238EC" w:rsidR="003570A7" w:rsidRPr="00963C86" w:rsidRDefault="00963C86" w:rsidP="00550694">
      <w:pPr>
        <w:spacing w:after="0"/>
        <w:jc w:val="center"/>
        <w:rPr>
          <w:b/>
          <w:szCs w:val="22"/>
          <w:lang w:eastAsia="fr-FR"/>
        </w:rPr>
      </w:pPr>
      <w:r w:rsidRPr="00963C86">
        <w:rPr>
          <w:b/>
          <w:szCs w:val="22"/>
          <w:lang w:eastAsia="fr-FR"/>
        </w:rPr>
        <w:t>Porteurs</w:t>
      </w:r>
      <w:r w:rsidR="00550694" w:rsidRPr="00963C86">
        <w:rPr>
          <w:b/>
          <w:szCs w:val="22"/>
          <w:lang w:eastAsia="fr-FR"/>
        </w:rPr>
        <w:t xml:space="preserve"> de projet Ouest Valorisation</w:t>
      </w:r>
    </w:p>
    <w:p w14:paraId="6BCF6DB3" w14:textId="77777777" w:rsidR="003570A7" w:rsidRDefault="003570A7" w:rsidP="00681EDC">
      <w:pPr>
        <w:spacing w:after="0"/>
        <w:jc w:val="both"/>
        <w:rPr>
          <w:szCs w:val="22"/>
          <w:lang w:eastAsia="fr-FR"/>
        </w:rPr>
      </w:pPr>
    </w:p>
    <w:p w14:paraId="0FB05B13" w14:textId="01422F68" w:rsidR="000D1C4C" w:rsidRDefault="00681EDC" w:rsidP="00681EDC">
      <w:pPr>
        <w:spacing w:after="0"/>
        <w:jc w:val="both"/>
        <w:rPr>
          <w:szCs w:val="22"/>
          <w:lang w:eastAsia="fr-FR"/>
        </w:rPr>
      </w:pPr>
      <w:r w:rsidRPr="00F84460">
        <w:rPr>
          <w:szCs w:val="22"/>
          <w:lang w:eastAsia="fr-FR"/>
        </w:rPr>
        <w:t xml:space="preserve">En réponse à la proposition de convention de partenariat </w:t>
      </w:r>
      <w:r w:rsidR="00B6243F">
        <w:rPr>
          <w:szCs w:val="22"/>
          <w:lang w:eastAsia="fr-FR"/>
        </w:rPr>
        <w:t xml:space="preserve">faite par </w:t>
      </w:r>
      <w:proofErr w:type="spellStart"/>
      <w:r w:rsidR="00B6243F">
        <w:rPr>
          <w:szCs w:val="22"/>
          <w:lang w:eastAsia="fr-FR"/>
        </w:rPr>
        <w:t>Atlanpole</w:t>
      </w:r>
      <w:proofErr w:type="spellEnd"/>
      <w:r w:rsidRPr="00F84460">
        <w:rPr>
          <w:szCs w:val="22"/>
          <w:lang w:eastAsia="fr-FR"/>
        </w:rPr>
        <w:t xml:space="preserve">, voici ci dessous, nos commentaires. </w:t>
      </w:r>
    </w:p>
    <w:p w14:paraId="7BA2A2DE" w14:textId="77777777" w:rsidR="000D1C4C" w:rsidRPr="00F84460" w:rsidRDefault="000D1C4C" w:rsidP="00681EDC">
      <w:pPr>
        <w:spacing w:after="0"/>
        <w:jc w:val="both"/>
        <w:rPr>
          <w:szCs w:val="22"/>
          <w:lang w:eastAsia="fr-FR"/>
        </w:rPr>
      </w:pPr>
    </w:p>
    <w:p w14:paraId="294F1CFB" w14:textId="77777777" w:rsidR="00C558C0" w:rsidRDefault="00681EDC" w:rsidP="00681EDC">
      <w:pPr>
        <w:spacing w:after="0"/>
        <w:jc w:val="both"/>
        <w:rPr>
          <w:szCs w:val="22"/>
          <w:lang w:eastAsia="fr-FR"/>
        </w:rPr>
      </w:pPr>
      <w:r>
        <w:rPr>
          <w:szCs w:val="22"/>
          <w:lang w:eastAsia="fr-FR"/>
        </w:rPr>
        <w:t xml:space="preserve">En </w:t>
      </w:r>
      <w:r w:rsidRPr="00B6243F">
        <w:rPr>
          <w:b/>
          <w:szCs w:val="22"/>
          <w:lang w:eastAsia="fr-FR"/>
        </w:rPr>
        <w:t>préambule</w:t>
      </w:r>
      <w:r>
        <w:rPr>
          <w:szCs w:val="22"/>
          <w:lang w:eastAsia="fr-FR"/>
        </w:rPr>
        <w:t xml:space="preserve">, </w:t>
      </w:r>
      <w:r w:rsidR="00C558C0">
        <w:rPr>
          <w:szCs w:val="22"/>
          <w:lang w:eastAsia="fr-FR"/>
        </w:rPr>
        <w:t xml:space="preserve">dans le cadre des investissements d’avenirs, </w:t>
      </w:r>
      <w:r>
        <w:rPr>
          <w:szCs w:val="22"/>
          <w:lang w:eastAsia="fr-FR"/>
        </w:rPr>
        <w:t xml:space="preserve">le projet de </w:t>
      </w:r>
      <w:r w:rsidR="005B1697">
        <w:rPr>
          <w:szCs w:val="22"/>
          <w:lang w:eastAsia="fr-FR"/>
        </w:rPr>
        <w:t>SATT</w:t>
      </w:r>
      <w:r>
        <w:rPr>
          <w:szCs w:val="22"/>
          <w:lang w:eastAsia="fr-FR"/>
        </w:rPr>
        <w:t xml:space="preserve">, </w:t>
      </w:r>
      <w:r w:rsidR="000D1C4C">
        <w:rPr>
          <w:szCs w:val="22"/>
          <w:lang w:eastAsia="fr-FR"/>
        </w:rPr>
        <w:t>est un</w:t>
      </w:r>
      <w:r>
        <w:rPr>
          <w:szCs w:val="22"/>
          <w:lang w:eastAsia="fr-FR"/>
        </w:rPr>
        <w:t xml:space="preserve"> outil structurant et stratégique pour le développement économique de nos deux territoires</w:t>
      </w:r>
      <w:r w:rsidR="00C558C0">
        <w:rPr>
          <w:szCs w:val="22"/>
          <w:lang w:eastAsia="fr-FR"/>
        </w:rPr>
        <w:t>. C’e</w:t>
      </w:r>
      <w:r w:rsidR="000D1C4C">
        <w:rPr>
          <w:szCs w:val="22"/>
          <w:lang w:eastAsia="fr-FR"/>
        </w:rPr>
        <w:t xml:space="preserve">st aussi une </w:t>
      </w:r>
      <w:r w:rsidR="00C558C0">
        <w:rPr>
          <w:szCs w:val="22"/>
          <w:lang w:eastAsia="fr-FR"/>
        </w:rPr>
        <w:t>condition</w:t>
      </w:r>
      <w:r w:rsidR="000D1C4C">
        <w:rPr>
          <w:szCs w:val="22"/>
          <w:lang w:eastAsia="fr-FR"/>
        </w:rPr>
        <w:t xml:space="preserve"> </w:t>
      </w:r>
      <w:r w:rsidR="00C558C0">
        <w:rPr>
          <w:szCs w:val="22"/>
          <w:lang w:eastAsia="fr-FR"/>
        </w:rPr>
        <w:t>nécessaire</w:t>
      </w:r>
      <w:r w:rsidR="000D1C4C">
        <w:rPr>
          <w:szCs w:val="22"/>
          <w:lang w:eastAsia="fr-FR"/>
        </w:rPr>
        <w:t xml:space="preserve"> pour </w:t>
      </w:r>
      <w:r w:rsidR="00C558C0">
        <w:rPr>
          <w:szCs w:val="22"/>
          <w:lang w:eastAsia="fr-FR"/>
        </w:rPr>
        <w:t xml:space="preserve">espérer être lauréat d’une initiative d’excellence. </w:t>
      </w:r>
    </w:p>
    <w:p w14:paraId="5B178640" w14:textId="77777777" w:rsidR="00E551E7" w:rsidRDefault="00E551E7" w:rsidP="00681EDC">
      <w:pPr>
        <w:spacing w:after="0"/>
        <w:jc w:val="both"/>
        <w:rPr>
          <w:szCs w:val="22"/>
          <w:lang w:eastAsia="fr-FR"/>
        </w:rPr>
      </w:pPr>
    </w:p>
    <w:p w14:paraId="249A2492" w14:textId="38591E1C" w:rsidR="00C558C0" w:rsidRDefault="00C558C0" w:rsidP="00681EDC">
      <w:pPr>
        <w:spacing w:after="0"/>
        <w:jc w:val="both"/>
        <w:rPr>
          <w:szCs w:val="22"/>
          <w:lang w:eastAsia="fr-FR"/>
        </w:rPr>
      </w:pPr>
      <w:r>
        <w:rPr>
          <w:szCs w:val="22"/>
          <w:lang w:eastAsia="fr-FR"/>
        </w:rPr>
        <w:t xml:space="preserve">Les conditions de réussites, exposées par le CGI, passent par un soutien massif des partenaires de l’innovation en région Bretagne et Pays de la Loire. </w:t>
      </w:r>
      <w:r w:rsidRPr="00B6243F">
        <w:rPr>
          <w:b/>
          <w:szCs w:val="22"/>
          <w:lang w:eastAsia="fr-FR"/>
        </w:rPr>
        <w:t>Tout échec</w:t>
      </w:r>
      <w:r>
        <w:rPr>
          <w:szCs w:val="22"/>
          <w:lang w:eastAsia="fr-FR"/>
        </w:rPr>
        <w:t xml:space="preserve"> serait </w:t>
      </w:r>
      <w:r w:rsidR="00B6243F" w:rsidRPr="00B6243F">
        <w:rPr>
          <w:b/>
          <w:szCs w:val="22"/>
          <w:lang w:eastAsia="fr-FR"/>
        </w:rPr>
        <w:t>durablement néfaste</w:t>
      </w:r>
      <w:r>
        <w:rPr>
          <w:szCs w:val="22"/>
          <w:lang w:eastAsia="fr-FR"/>
        </w:rPr>
        <w:t xml:space="preserve">, pour l’avenir de notre territoire du Grand Ouest. </w:t>
      </w:r>
    </w:p>
    <w:p w14:paraId="4879CCDB" w14:textId="77777777" w:rsidR="00E551E7" w:rsidRDefault="00E551E7" w:rsidP="00681EDC">
      <w:pPr>
        <w:spacing w:after="0"/>
        <w:jc w:val="both"/>
        <w:rPr>
          <w:szCs w:val="22"/>
          <w:lang w:eastAsia="fr-FR"/>
        </w:rPr>
      </w:pPr>
    </w:p>
    <w:p w14:paraId="03B4C2E8" w14:textId="77777777" w:rsidR="00E551E7" w:rsidRDefault="00E551E7" w:rsidP="00681EDC">
      <w:pPr>
        <w:spacing w:after="0"/>
        <w:jc w:val="both"/>
        <w:rPr>
          <w:szCs w:val="22"/>
          <w:lang w:eastAsia="fr-FR"/>
        </w:rPr>
      </w:pPr>
      <w:r>
        <w:rPr>
          <w:szCs w:val="22"/>
          <w:lang w:eastAsia="fr-FR"/>
        </w:rPr>
        <w:t xml:space="preserve">En vue </w:t>
      </w:r>
      <w:r w:rsidR="00D8542F">
        <w:rPr>
          <w:szCs w:val="22"/>
          <w:lang w:eastAsia="fr-FR"/>
        </w:rPr>
        <w:t xml:space="preserve">de finaliser notre accord préliminaire dans la perspective d’un dépôt imminent, voici une dernière proposition dans le prolongement de celles que nous faisons depuis de nombreux mois et conforme aux attentes du CGI et des contraintes qu’il fixe. </w:t>
      </w:r>
    </w:p>
    <w:p w14:paraId="48A5ED7C" w14:textId="77777777" w:rsidR="00D8542F" w:rsidRDefault="00D8542F" w:rsidP="00681EDC">
      <w:pPr>
        <w:spacing w:after="0"/>
        <w:jc w:val="both"/>
        <w:rPr>
          <w:szCs w:val="22"/>
          <w:lang w:eastAsia="fr-FR"/>
        </w:rPr>
      </w:pPr>
    </w:p>
    <w:p w14:paraId="20949886" w14:textId="31151418" w:rsidR="00681EDC" w:rsidRPr="00F84460" w:rsidRDefault="00D8542F" w:rsidP="00681EDC">
      <w:pPr>
        <w:spacing w:after="0"/>
        <w:jc w:val="both"/>
        <w:rPr>
          <w:szCs w:val="22"/>
          <w:lang w:eastAsia="fr-FR"/>
        </w:rPr>
      </w:pPr>
      <w:r>
        <w:rPr>
          <w:szCs w:val="22"/>
          <w:lang w:eastAsia="fr-FR"/>
        </w:rPr>
        <w:t xml:space="preserve">Pour faire écho à la proposition de convention de partenariat </w:t>
      </w:r>
      <w:r w:rsidR="00A15968">
        <w:rPr>
          <w:szCs w:val="22"/>
          <w:lang w:eastAsia="fr-FR"/>
        </w:rPr>
        <w:t xml:space="preserve">proposée par </w:t>
      </w:r>
      <w:proofErr w:type="spellStart"/>
      <w:r w:rsidR="00A15968">
        <w:rPr>
          <w:szCs w:val="22"/>
          <w:lang w:eastAsia="fr-FR"/>
        </w:rPr>
        <w:t>Atlanpole</w:t>
      </w:r>
      <w:proofErr w:type="spellEnd"/>
      <w:r w:rsidR="00A15968">
        <w:rPr>
          <w:szCs w:val="22"/>
          <w:lang w:eastAsia="fr-FR"/>
        </w:rPr>
        <w:t xml:space="preserve"> </w:t>
      </w:r>
      <w:r w:rsidR="00B6243F">
        <w:rPr>
          <w:szCs w:val="22"/>
          <w:lang w:eastAsia="fr-FR"/>
        </w:rPr>
        <w:t xml:space="preserve">(en italique, citation extraites dudit document) </w:t>
      </w:r>
      <w:r w:rsidR="00A15968">
        <w:rPr>
          <w:szCs w:val="22"/>
          <w:lang w:eastAsia="fr-FR"/>
        </w:rPr>
        <w:t>au PRES UNAM</w:t>
      </w:r>
      <w:r>
        <w:rPr>
          <w:szCs w:val="22"/>
          <w:lang w:eastAsia="fr-FR"/>
        </w:rPr>
        <w:t>, n</w:t>
      </w:r>
      <w:r w:rsidR="00681EDC" w:rsidRPr="00F84460">
        <w:rPr>
          <w:szCs w:val="22"/>
          <w:lang w:eastAsia="fr-FR"/>
        </w:rPr>
        <w:t>ous sommes bien d'accord sur deux objectifs</w:t>
      </w:r>
      <w:r w:rsidR="00B6243F">
        <w:rPr>
          <w:szCs w:val="22"/>
          <w:lang w:eastAsia="fr-FR"/>
        </w:rPr>
        <w:t xml:space="preserve"> </w:t>
      </w:r>
      <w:r w:rsidR="00681EDC" w:rsidRPr="00F84460">
        <w:rPr>
          <w:szCs w:val="22"/>
          <w:lang w:eastAsia="fr-FR"/>
        </w:rPr>
        <w:t>:</w:t>
      </w:r>
    </w:p>
    <w:p w14:paraId="7FAC046C" w14:textId="77777777" w:rsidR="00681EDC" w:rsidRPr="00F84460" w:rsidRDefault="00681EDC" w:rsidP="00681EDC">
      <w:pPr>
        <w:numPr>
          <w:ilvl w:val="0"/>
          <w:numId w:val="1"/>
        </w:numPr>
        <w:spacing w:after="0"/>
        <w:jc w:val="both"/>
        <w:rPr>
          <w:szCs w:val="22"/>
          <w:lang w:eastAsia="fr-FR"/>
        </w:rPr>
      </w:pPr>
      <w:r w:rsidRPr="00F84460">
        <w:rPr>
          <w:b/>
          <w:szCs w:val="22"/>
          <w:lang w:eastAsia="fr-FR"/>
        </w:rPr>
        <w:t>La SATT et les technopoles</w:t>
      </w:r>
      <w:r w:rsidRPr="00F84460">
        <w:rPr>
          <w:szCs w:val="22"/>
          <w:lang w:eastAsia="fr-FR"/>
        </w:rPr>
        <w:t xml:space="preserve"> </w:t>
      </w:r>
      <w:r w:rsidRPr="00F84460">
        <w:rPr>
          <w:b/>
          <w:szCs w:val="22"/>
          <w:lang w:eastAsia="fr-FR"/>
        </w:rPr>
        <w:t>doivent collaborer</w:t>
      </w:r>
      <w:r w:rsidRPr="00F84460">
        <w:rPr>
          <w:szCs w:val="22"/>
          <w:lang w:eastAsia="fr-FR"/>
        </w:rPr>
        <w:t xml:space="preserve"> "</w:t>
      </w:r>
      <w:r w:rsidRPr="00F84460">
        <w:rPr>
          <w:i/>
          <w:szCs w:val="22"/>
          <w:lang w:eastAsia="fr-FR"/>
        </w:rPr>
        <w:t>pour la mise en œuvre d'actions coordonnées permettant de tirer profit de profit de la complémentarité des compétences et champs d’action"</w:t>
      </w:r>
      <w:r w:rsidRPr="00F84460">
        <w:rPr>
          <w:szCs w:val="22"/>
          <w:lang w:eastAsia="fr-FR"/>
        </w:rPr>
        <w:t xml:space="preserve">. </w:t>
      </w:r>
      <w:r w:rsidRPr="00F84460">
        <w:rPr>
          <w:b/>
          <w:szCs w:val="22"/>
          <w:lang w:eastAsia="fr-FR"/>
        </w:rPr>
        <w:t>Cette collaboration s'inscrit dans une volonté commune de développement de l'innovation territoriale notamment vers les PME.</w:t>
      </w:r>
    </w:p>
    <w:p w14:paraId="0532A8D6" w14:textId="77777777" w:rsidR="00681EDC" w:rsidRPr="00F84460" w:rsidRDefault="00681EDC" w:rsidP="00681EDC">
      <w:pPr>
        <w:numPr>
          <w:ilvl w:val="0"/>
          <w:numId w:val="1"/>
        </w:numPr>
        <w:spacing w:after="0"/>
        <w:jc w:val="both"/>
        <w:rPr>
          <w:b/>
          <w:szCs w:val="22"/>
          <w:lang w:eastAsia="fr-FR"/>
        </w:rPr>
      </w:pPr>
      <w:r w:rsidRPr="00F84460">
        <w:rPr>
          <w:szCs w:val="22"/>
          <w:lang w:eastAsia="fr-FR"/>
        </w:rPr>
        <w:t xml:space="preserve">La </w:t>
      </w:r>
      <w:r w:rsidRPr="00F84460">
        <w:rPr>
          <w:b/>
          <w:szCs w:val="22"/>
          <w:lang w:eastAsia="fr-FR"/>
        </w:rPr>
        <w:t>SATT et les incubateurs</w:t>
      </w:r>
      <w:r w:rsidRPr="00F84460">
        <w:rPr>
          <w:szCs w:val="22"/>
          <w:lang w:eastAsia="fr-FR"/>
        </w:rPr>
        <w:t xml:space="preserve"> </w:t>
      </w:r>
      <w:r w:rsidRPr="00F84460">
        <w:rPr>
          <w:b/>
          <w:szCs w:val="22"/>
          <w:lang w:eastAsia="fr-FR"/>
        </w:rPr>
        <w:t>doivent</w:t>
      </w:r>
      <w:r w:rsidRPr="00F84460">
        <w:rPr>
          <w:szCs w:val="22"/>
          <w:lang w:eastAsia="fr-FR"/>
        </w:rPr>
        <w:t xml:space="preserve"> </w:t>
      </w:r>
      <w:r w:rsidRPr="00F84460">
        <w:rPr>
          <w:b/>
          <w:szCs w:val="22"/>
          <w:lang w:eastAsia="fr-FR"/>
        </w:rPr>
        <w:t>contribuer à l'émergence et à l'accompagnement de jeunes entreprises innovantes issues de la recherche et à leur croissance.</w:t>
      </w:r>
    </w:p>
    <w:p w14:paraId="0383C820" w14:textId="77777777" w:rsidR="00681EDC" w:rsidRPr="00F84460" w:rsidRDefault="00681EDC" w:rsidP="00681EDC">
      <w:pPr>
        <w:spacing w:after="0"/>
        <w:jc w:val="both"/>
        <w:rPr>
          <w:szCs w:val="22"/>
          <w:lang w:eastAsia="fr-FR"/>
        </w:rPr>
      </w:pPr>
      <w:r w:rsidRPr="00F84460">
        <w:rPr>
          <w:szCs w:val="22"/>
          <w:lang w:eastAsia="fr-FR"/>
        </w:rPr>
        <w:br/>
        <w:t>La mise en œuvre de cette coopération passe</w:t>
      </w:r>
      <w:r>
        <w:rPr>
          <w:szCs w:val="22"/>
          <w:lang w:eastAsia="fr-FR"/>
        </w:rPr>
        <w:t xml:space="preserve"> avant tout par une forte interaction </w:t>
      </w:r>
      <w:r w:rsidR="00D8542F">
        <w:rPr>
          <w:szCs w:val="22"/>
          <w:lang w:eastAsia="fr-FR"/>
        </w:rPr>
        <w:t xml:space="preserve">sur le terrain </w:t>
      </w:r>
      <w:r>
        <w:rPr>
          <w:szCs w:val="22"/>
          <w:lang w:eastAsia="fr-FR"/>
        </w:rPr>
        <w:t xml:space="preserve">et </w:t>
      </w:r>
      <w:r w:rsidR="00D8542F">
        <w:rPr>
          <w:szCs w:val="22"/>
          <w:lang w:eastAsia="fr-FR"/>
        </w:rPr>
        <w:t xml:space="preserve">une </w:t>
      </w:r>
      <w:r>
        <w:rPr>
          <w:szCs w:val="22"/>
          <w:lang w:eastAsia="fr-FR"/>
        </w:rPr>
        <w:t>col</w:t>
      </w:r>
      <w:r w:rsidR="000D1C4C">
        <w:rPr>
          <w:szCs w:val="22"/>
          <w:lang w:eastAsia="fr-FR"/>
        </w:rPr>
        <w:t>lab</w:t>
      </w:r>
      <w:r>
        <w:rPr>
          <w:szCs w:val="22"/>
          <w:lang w:eastAsia="fr-FR"/>
        </w:rPr>
        <w:t xml:space="preserve">oration </w:t>
      </w:r>
      <w:r w:rsidR="00D8542F">
        <w:rPr>
          <w:szCs w:val="22"/>
          <w:lang w:eastAsia="fr-FR"/>
        </w:rPr>
        <w:t>sur</w:t>
      </w:r>
      <w:r>
        <w:rPr>
          <w:szCs w:val="22"/>
          <w:lang w:eastAsia="fr-FR"/>
        </w:rPr>
        <w:t xml:space="preserve"> les projets</w:t>
      </w:r>
      <w:r w:rsidR="000D1C4C">
        <w:rPr>
          <w:szCs w:val="22"/>
          <w:lang w:eastAsia="fr-FR"/>
        </w:rPr>
        <w:t>. Elle</w:t>
      </w:r>
      <w:r>
        <w:rPr>
          <w:szCs w:val="22"/>
          <w:lang w:eastAsia="fr-FR"/>
        </w:rPr>
        <w:t xml:space="preserve"> </w:t>
      </w:r>
      <w:r w:rsidR="000D1C4C">
        <w:rPr>
          <w:szCs w:val="22"/>
          <w:lang w:eastAsia="fr-FR"/>
        </w:rPr>
        <w:t>passe</w:t>
      </w:r>
      <w:r>
        <w:rPr>
          <w:szCs w:val="22"/>
          <w:lang w:eastAsia="fr-FR"/>
        </w:rPr>
        <w:t xml:space="preserve"> aussi</w:t>
      </w:r>
      <w:r w:rsidRPr="00F84460">
        <w:rPr>
          <w:szCs w:val="22"/>
          <w:lang w:eastAsia="fr-FR"/>
        </w:rPr>
        <w:t xml:space="preserve"> par une  </w:t>
      </w:r>
      <w:r w:rsidRPr="00F84460">
        <w:rPr>
          <w:b/>
          <w:szCs w:val="22"/>
          <w:lang w:eastAsia="fr-FR"/>
        </w:rPr>
        <w:t>participation croisée dans les instances de gouvernance</w:t>
      </w:r>
      <w:r w:rsidRPr="00F84460">
        <w:rPr>
          <w:szCs w:val="22"/>
          <w:lang w:eastAsia="fr-FR"/>
        </w:rPr>
        <w:t xml:space="preserve">. Ainsi des représentants des incubateurs et des technopoles seront </w:t>
      </w:r>
      <w:r w:rsidR="00D8542F">
        <w:rPr>
          <w:szCs w:val="22"/>
          <w:lang w:eastAsia="fr-FR"/>
        </w:rPr>
        <w:t>membres</w:t>
      </w:r>
      <w:r w:rsidR="00D8542F" w:rsidRPr="00F84460">
        <w:rPr>
          <w:szCs w:val="22"/>
          <w:lang w:eastAsia="fr-FR"/>
        </w:rPr>
        <w:t xml:space="preserve"> </w:t>
      </w:r>
      <w:r w:rsidR="00D8542F">
        <w:rPr>
          <w:szCs w:val="22"/>
          <w:lang w:eastAsia="fr-FR"/>
        </w:rPr>
        <w:t>d</w:t>
      </w:r>
      <w:r w:rsidRPr="00F84460">
        <w:rPr>
          <w:szCs w:val="22"/>
          <w:lang w:eastAsia="fr-FR"/>
        </w:rPr>
        <w:t xml:space="preserve">u Comité d’Orientation Stratégique de la SATT, </w:t>
      </w:r>
      <w:r w:rsidR="00D8542F">
        <w:rPr>
          <w:szCs w:val="22"/>
          <w:lang w:eastAsia="fr-FR"/>
        </w:rPr>
        <w:t xml:space="preserve">et seront invités </w:t>
      </w:r>
      <w:r w:rsidRPr="00F84460">
        <w:rPr>
          <w:szCs w:val="22"/>
          <w:lang w:eastAsia="fr-FR"/>
        </w:rPr>
        <w:t xml:space="preserve">au comité d’investissement. </w:t>
      </w:r>
    </w:p>
    <w:p w14:paraId="71A137CF" w14:textId="77777777" w:rsidR="00681EDC" w:rsidRPr="00F84460" w:rsidRDefault="00681EDC" w:rsidP="00681EDC">
      <w:pPr>
        <w:spacing w:after="0"/>
        <w:jc w:val="both"/>
        <w:rPr>
          <w:szCs w:val="22"/>
          <w:lang w:eastAsia="fr-FR"/>
        </w:rPr>
      </w:pPr>
    </w:p>
    <w:p w14:paraId="50E6E547" w14:textId="77777777" w:rsidR="00681EDC" w:rsidRPr="00F84460" w:rsidRDefault="00681EDC" w:rsidP="00681EDC">
      <w:pPr>
        <w:spacing w:after="0"/>
        <w:jc w:val="both"/>
        <w:rPr>
          <w:b/>
          <w:szCs w:val="22"/>
          <w:lang w:eastAsia="fr-FR"/>
        </w:rPr>
      </w:pPr>
      <w:r w:rsidRPr="00F84460">
        <w:rPr>
          <w:szCs w:val="22"/>
          <w:lang w:eastAsia="fr-FR"/>
        </w:rPr>
        <w:t xml:space="preserve">Mais au delà, pour que cette coopération s'inscrive dans une logique de création de valeur sur la chaine de valorisation de la recherche, </w:t>
      </w:r>
      <w:r w:rsidRPr="00F84460">
        <w:rPr>
          <w:b/>
          <w:szCs w:val="22"/>
          <w:lang w:eastAsia="fr-FR"/>
        </w:rPr>
        <w:t>il faut que les missions de chacun soit bien lisibles, ce qui n'est pas le cas.</w:t>
      </w:r>
    </w:p>
    <w:p w14:paraId="44F6AFFB" w14:textId="77777777" w:rsidR="00681EDC" w:rsidRPr="00F84460" w:rsidRDefault="00681EDC" w:rsidP="00681EDC">
      <w:pPr>
        <w:spacing w:after="0"/>
        <w:jc w:val="both"/>
        <w:rPr>
          <w:szCs w:val="20"/>
          <w:lang w:eastAsia="fr-FR"/>
        </w:rPr>
      </w:pPr>
      <w:r w:rsidRPr="00F84460">
        <w:rPr>
          <w:szCs w:val="22"/>
          <w:lang w:eastAsia="fr-FR"/>
        </w:rPr>
        <w:br/>
        <w:t>Par exemple, le projet de convention de partenariat avec les technopoles mentionne (</w:t>
      </w:r>
      <w:r w:rsidRPr="00F84460">
        <w:rPr>
          <w:b/>
          <w:szCs w:val="22"/>
          <w:lang w:eastAsia="fr-FR"/>
        </w:rPr>
        <w:t>article 2</w:t>
      </w:r>
      <w:r w:rsidRPr="00F84460">
        <w:rPr>
          <w:szCs w:val="22"/>
          <w:lang w:eastAsia="fr-FR"/>
        </w:rPr>
        <w:t xml:space="preserve">) que les </w:t>
      </w:r>
      <w:r w:rsidRPr="00F84460">
        <w:rPr>
          <w:b/>
          <w:szCs w:val="22"/>
          <w:lang w:eastAsia="fr-FR"/>
        </w:rPr>
        <w:t>technopoles</w:t>
      </w:r>
      <w:r w:rsidRPr="00F84460">
        <w:rPr>
          <w:b/>
          <w:i/>
          <w:szCs w:val="22"/>
          <w:lang w:eastAsia="fr-FR"/>
        </w:rPr>
        <w:t> </w:t>
      </w:r>
      <w:r w:rsidRPr="00F84460">
        <w:rPr>
          <w:szCs w:val="22"/>
          <w:lang w:eastAsia="fr-FR"/>
        </w:rPr>
        <w:t>"</w:t>
      </w:r>
      <w:r w:rsidRPr="00F84460">
        <w:rPr>
          <w:i/>
          <w:szCs w:val="22"/>
          <w:lang w:eastAsia="fr-FR"/>
        </w:rPr>
        <w:t>détectent, font maturer, évaluent, sélectionnent et accompagnent les projets innovants, dans les laboratoires".</w:t>
      </w:r>
      <w:r w:rsidRPr="00F84460">
        <w:rPr>
          <w:szCs w:val="22"/>
          <w:lang w:eastAsia="fr-FR"/>
        </w:rPr>
        <w:t xml:space="preserve"> Ces</w:t>
      </w:r>
      <w:r w:rsidRPr="00F84460">
        <w:rPr>
          <w:i/>
          <w:szCs w:val="22"/>
          <w:lang w:eastAsia="fr-FR"/>
        </w:rPr>
        <w:t xml:space="preserve"> </w:t>
      </w:r>
      <w:r w:rsidRPr="00F84460">
        <w:rPr>
          <w:szCs w:val="22"/>
          <w:lang w:eastAsia="fr-FR"/>
        </w:rPr>
        <w:t>projets, à la lecture de l'</w:t>
      </w:r>
      <w:r w:rsidRPr="00F84460">
        <w:rPr>
          <w:b/>
          <w:szCs w:val="22"/>
          <w:lang w:eastAsia="fr-FR"/>
        </w:rPr>
        <w:t>article 5</w:t>
      </w:r>
      <w:r w:rsidRPr="00F84460">
        <w:rPr>
          <w:szCs w:val="22"/>
          <w:lang w:eastAsia="fr-FR"/>
        </w:rPr>
        <w:t>, concernent l'ensemble des projets entrant dans les activités de valorisation et transfert de technologie</w:t>
      </w:r>
      <w:r w:rsidRPr="00F84460">
        <w:rPr>
          <w:szCs w:val="20"/>
          <w:lang w:eastAsia="fr-FR"/>
        </w:rPr>
        <w:t xml:space="preserve"> dont la mission est confiée à la </w:t>
      </w:r>
      <w:r w:rsidRPr="00F84460">
        <w:rPr>
          <w:b/>
          <w:szCs w:val="20"/>
          <w:lang w:eastAsia="fr-FR"/>
        </w:rPr>
        <w:t>SATT</w:t>
      </w:r>
      <w:r w:rsidRPr="00F84460">
        <w:rPr>
          <w:szCs w:val="20"/>
          <w:lang w:eastAsia="fr-FR"/>
        </w:rPr>
        <w:t xml:space="preserve"> "</w:t>
      </w:r>
      <w:r w:rsidRPr="00F84460">
        <w:rPr>
          <w:i/>
          <w:szCs w:val="20"/>
          <w:lang w:eastAsia="fr-FR"/>
        </w:rPr>
        <w:t xml:space="preserve">projets valorisant les résultats des travaux de recherche issus des laboratoires associés au PRES UNAM que ce soit dans le cadre de transfert de technologie vers des entreprises existantes, de création </w:t>
      </w:r>
      <w:r w:rsidRPr="00F84460">
        <w:rPr>
          <w:i/>
          <w:szCs w:val="20"/>
          <w:lang w:eastAsia="fr-FR"/>
        </w:rPr>
        <w:lastRenderedPageBreak/>
        <w:t>d’entreprises innovantes (essaimage) ou de la mise en place de projets collaboratifs d’innovation</w:t>
      </w:r>
      <w:r w:rsidRPr="00F84460">
        <w:rPr>
          <w:szCs w:val="20"/>
          <w:lang w:eastAsia="fr-FR"/>
        </w:rPr>
        <w:t>".</w:t>
      </w:r>
    </w:p>
    <w:p w14:paraId="46CA0C32" w14:textId="77777777" w:rsidR="00681EDC" w:rsidRPr="00F84460" w:rsidRDefault="00681EDC" w:rsidP="00681EDC">
      <w:pPr>
        <w:spacing w:after="0"/>
        <w:jc w:val="both"/>
        <w:rPr>
          <w:szCs w:val="22"/>
          <w:lang w:eastAsia="fr-FR"/>
        </w:rPr>
      </w:pPr>
      <w:r w:rsidRPr="00F84460">
        <w:rPr>
          <w:szCs w:val="20"/>
          <w:lang w:eastAsia="fr-FR"/>
        </w:rPr>
        <w:br/>
      </w:r>
      <w:r w:rsidRPr="00F84460">
        <w:rPr>
          <w:szCs w:val="22"/>
          <w:lang w:eastAsia="fr-FR"/>
        </w:rPr>
        <w:t xml:space="preserve">De même, la </w:t>
      </w:r>
      <w:r w:rsidRPr="00F84460">
        <w:rPr>
          <w:b/>
          <w:szCs w:val="22"/>
          <w:lang w:eastAsia="fr-FR"/>
        </w:rPr>
        <w:t>définition de la stratégie de transfert</w:t>
      </w:r>
      <w:r w:rsidRPr="00F84460">
        <w:rPr>
          <w:szCs w:val="22"/>
          <w:lang w:eastAsia="fr-FR"/>
        </w:rPr>
        <w:t xml:space="preserve"> (création d’entreprise ou transfert vers entreprise existante), semble dans la même convention, ne pas être de la responsabilité de la SATT qui est  sollicitée en aval, dès lors que le "</w:t>
      </w:r>
      <w:r w:rsidRPr="00F84460">
        <w:rPr>
          <w:i/>
          <w:szCs w:val="22"/>
          <w:lang w:eastAsia="fr-FR"/>
        </w:rPr>
        <w:t>projet académique est clairement et uniquement orienté vers un transfert de technologie vers une entreprise</w:t>
      </w:r>
      <w:r w:rsidRPr="00F84460">
        <w:rPr>
          <w:szCs w:val="22"/>
          <w:lang w:eastAsia="fr-FR"/>
        </w:rPr>
        <w:t xml:space="preserve"> </w:t>
      </w:r>
      <w:r w:rsidRPr="00F84460">
        <w:rPr>
          <w:i/>
          <w:szCs w:val="22"/>
          <w:lang w:eastAsia="fr-FR"/>
        </w:rPr>
        <w:t>existante</w:t>
      </w:r>
      <w:r w:rsidRPr="00F84460">
        <w:rPr>
          <w:szCs w:val="22"/>
          <w:lang w:eastAsia="fr-FR"/>
        </w:rPr>
        <w:t xml:space="preserve">". </w:t>
      </w:r>
    </w:p>
    <w:p w14:paraId="5042B61A" w14:textId="77777777" w:rsidR="00681EDC" w:rsidRPr="00F84460" w:rsidRDefault="00681EDC" w:rsidP="00681EDC">
      <w:pPr>
        <w:spacing w:after="0"/>
        <w:jc w:val="both"/>
        <w:rPr>
          <w:szCs w:val="22"/>
          <w:lang w:eastAsia="fr-FR"/>
        </w:rPr>
      </w:pPr>
    </w:p>
    <w:p w14:paraId="2A50D86A" w14:textId="77777777" w:rsidR="00681EDC" w:rsidRPr="00F84460" w:rsidRDefault="00681EDC" w:rsidP="00681EDC">
      <w:pPr>
        <w:spacing w:after="0"/>
        <w:jc w:val="both"/>
        <w:rPr>
          <w:szCs w:val="22"/>
          <w:lang w:eastAsia="fr-FR"/>
        </w:rPr>
      </w:pPr>
      <w:r w:rsidRPr="00F84460">
        <w:rPr>
          <w:szCs w:val="22"/>
          <w:lang w:eastAsia="fr-FR"/>
        </w:rPr>
        <w:t xml:space="preserve">Dans ce schéma, la </w:t>
      </w:r>
      <w:r w:rsidRPr="00F84460">
        <w:rPr>
          <w:b/>
          <w:szCs w:val="22"/>
          <w:lang w:eastAsia="fr-FR"/>
        </w:rPr>
        <w:t>prospection et la détection</w:t>
      </w:r>
      <w:r w:rsidRPr="00F84460">
        <w:rPr>
          <w:szCs w:val="22"/>
          <w:lang w:eastAsia="fr-FR"/>
        </w:rPr>
        <w:t xml:space="preserve"> des projets </w:t>
      </w:r>
      <w:r w:rsidRPr="00F84460">
        <w:rPr>
          <w:i/>
          <w:szCs w:val="22"/>
          <w:lang w:eastAsia="fr-FR"/>
        </w:rPr>
        <w:t>sur le terrain</w:t>
      </w:r>
      <w:r w:rsidRPr="00F84460">
        <w:rPr>
          <w:szCs w:val="22"/>
          <w:lang w:eastAsia="fr-FR"/>
        </w:rPr>
        <w:t xml:space="preserve"> sont de la responsabilité des technopoles et de la SATT ce qui n'est pas sans poser problème, puisque la SATT a mission de gérer la propriété industrielle des laboratoires et sera donc à la genèse des projets. </w:t>
      </w:r>
    </w:p>
    <w:p w14:paraId="7A8B3398" w14:textId="77777777" w:rsidR="00681EDC" w:rsidRPr="00F84460" w:rsidRDefault="00681EDC" w:rsidP="00681EDC">
      <w:pPr>
        <w:spacing w:after="0"/>
        <w:jc w:val="both"/>
        <w:rPr>
          <w:szCs w:val="22"/>
          <w:lang w:eastAsia="fr-FR"/>
        </w:rPr>
      </w:pPr>
    </w:p>
    <w:p w14:paraId="49474D4C" w14:textId="77777777" w:rsidR="00D8542F" w:rsidRDefault="00681EDC" w:rsidP="00A15968">
      <w:pPr>
        <w:spacing w:after="0"/>
        <w:jc w:val="both"/>
        <w:rPr>
          <w:b/>
          <w:szCs w:val="22"/>
          <w:lang w:eastAsia="fr-FR"/>
        </w:rPr>
      </w:pPr>
      <w:r w:rsidRPr="00F84460">
        <w:rPr>
          <w:b/>
          <w:szCs w:val="22"/>
          <w:lang w:eastAsia="fr-FR"/>
        </w:rPr>
        <w:t>L’enjeu</w:t>
      </w:r>
      <w:r w:rsidRPr="00F84460">
        <w:rPr>
          <w:szCs w:val="22"/>
          <w:lang w:eastAsia="fr-FR"/>
        </w:rPr>
        <w:t xml:space="preserve"> de l’investissement d’avenir dans le transfert de technologie, est en premier lieu </w:t>
      </w:r>
      <w:r w:rsidRPr="00F84460">
        <w:rPr>
          <w:b/>
          <w:szCs w:val="22"/>
          <w:lang w:eastAsia="fr-FR"/>
        </w:rPr>
        <w:t>d'assurer la traçabilité des inventions en intégrant la PI dans une démarche qualité.</w:t>
      </w:r>
      <w:r w:rsidRPr="00F84460">
        <w:rPr>
          <w:szCs w:val="22"/>
          <w:lang w:eastAsia="fr-FR"/>
        </w:rPr>
        <w:t xml:space="preserve"> Cette démarche déjà mise en place en Bretagne sera étendue au PRES UNAM. Dans ce contexte si des actions de détection et d'accompagnement de projets devaient être réalisées par des experts des technopoles ou d'incubateurs, il serait indispensable que ces actions s’inscrivent dans la démarche qualité pilotée par la SATT et que ces experts doit placés sous la responsabilité de la SATT pour ces fonctions.</w:t>
      </w:r>
    </w:p>
    <w:p w14:paraId="4F6D38D8" w14:textId="77777777" w:rsidR="003570A7" w:rsidRDefault="003570A7" w:rsidP="00A15968">
      <w:pPr>
        <w:spacing w:after="0"/>
        <w:jc w:val="both"/>
        <w:rPr>
          <w:szCs w:val="22"/>
          <w:lang w:eastAsia="fr-FR"/>
        </w:rPr>
      </w:pPr>
    </w:p>
    <w:p w14:paraId="2C2AA750" w14:textId="14E07BC2" w:rsidR="00A15968" w:rsidRPr="00F84460" w:rsidRDefault="00B6243F" w:rsidP="00A15968">
      <w:pPr>
        <w:spacing w:after="0"/>
        <w:jc w:val="both"/>
        <w:rPr>
          <w:szCs w:val="22"/>
          <w:lang w:eastAsia="fr-FR"/>
        </w:rPr>
      </w:pPr>
      <w:r>
        <w:rPr>
          <w:szCs w:val="22"/>
          <w:lang w:eastAsia="fr-FR"/>
        </w:rPr>
        <w:t xml:space="preserve">Nous </w:t>
      </w:r>
      <w:proofErr w:type="spellStart"/>
      <w:r>
        <w:rPr>
          <w:szCs w:val="22"/>
          <w:lang w:eastAsia="fr-FR"/>
        </w:rPr>
        <w:t>nous</w:t>
      </w:r>
      <w:proofErr w:type="spellEnd"/>
      <w:r>
        <w:rPr>
          <w:szCs w:val="22"/>
          <w:lang w:eastAsia="fr-FR"/>
        </w:rPr>
        <w:t xml:space="preserve"> permettons </w:t>
      </w:r>
      <w:r w:rsidR="00A15968" w:rsidRPr="00F84460">
        <w:rPr>
          <w:szCs w:val="22"/>
          <w:lang w:eastAsia="fr-FR"/>
        </w:rPr>
        <w:t xml:space="preserve">également d'insister sur la </w:t>
      </w:r>
      <w:r w:rsidR="00A15968" w:rsidRPr="00F84460">
        <w:rPr>
          <w:b/>
          <w:szCs w:val="22"/>
          <w:lang w:eastAsia="fr-FR"/>
        </w:rPr>
        <w:t>clarification</w:t>
      </w:r>
      <w:r w:rsidR="00A15968" w:rsidRPr="00F84460">
        <w:rPr>
          <w:szCs w:val="22"/>
          <w:lang w:eastAsia="fr-FR"/>
        </w:rPr>
        <w:t xml:space="preserve"> qu'il est nécessaire d’apporter dans la définition des nos </w:t>
      </w:r>
      <w:r w:rsidR="00A15968" w:rsidRPr="00F84460">
        <w:rPr>
          <w:b/>
          <w:szCs w:val="22"/>
          <w:lang w:eastAsia="fr-FR"/>
        </w:rPr>
        <w:t>missions respectives</w:t>
      </w:r>
      <w:r w:rsidR="00A15968" w:rsidRPr="00F84460">
        <w:rPr>
          <w:szCs w:val="22"/>
          <w:lang w:eastAsia="fr-FR"/>
        </w:rPr>
        <w:t xml:space="preserve"> dans un contexte d'évaluation par un </w:t>
      </w:r>
      <w:r w:rsidR="00A15968" w:rsidRPr="00F84460">
        <w:rPr>
          <w:b/>
          <w:szCs w:val="22"/>
          <w:lang w:eastAsia="fr-FR"/>
        </w:rPr>
        <w:t>jury international</w:t>
      </w:r>
      <w:r w:rsidR="00A15968" w:rsidRPr="00F84460">
        <w:rPr>
          <w:szCs w:val="22"/>
          <w:lang w:eastAsia="fr-FR"/>
        </w:rPr>
        <w:t xml:space="preserve"> de l'appel d'offre SATT. </w:t>
      </w:r>
    </w:p>
    <w:p w14:paraId="7B6170AA" w14:textId="77777777" w:rsidR="00A15968" w:rsidRPr="00F84460" w:rsidRDefault="00A15968" w:rsidP="00A15968">
      <w:pPr>
        <w:spacing w:after="0"/>
        <w:jc w:val="both"/>
        <w:rPr>
          <w:szCs w:val="22"/>
          <w:lang w:eastAsia="fr-FR"/>
        </w:rPr>
      </w:pPr>
    </w:p>
    <w:p w14:paraId="642C2A55" w14:textId="77777777" w:rsidR="00A15968" w:rsidRPr="00F84460" w:rsidRDefault="00A15968" w:rsidP="00A15968">
      <w:pPr>
        <w:spacing w:after="0"/>
        <w:jc w:val="both"/>
        <w:rPr>
          <w:szCs w:val="22"/>
          <w:lang w:eastAsia="fr-FR"/>
        </w:rPr>
      </w:pPr>
      <w:r w:rsidRPr="00F84460">
        <w:rPr>
          <w:szCs w:val="22"/>
          <w:lang w:eastAsia="fr-FR"/>
        </w:rPr>
        <w:t xml:space="preserve">Pour ces experts, la </w:t>
      </w:r>
      <w:r w:rsidRPr="00F84460">
        <w:rPr>
          <w:b/>
          <w:szCs w:val="22"/>
          <w:lang w:eastAsia="fr-FR"/>
        </w:rPr>
        <w:t>terminologie du transfert de technologie</w:t>
      </w:r>
      <w:r w:rsidRPr="00F84460">
        <w:rPr>
          <w:szCs w:val="22"/>
          <w:lang w:eastAsia="fr-FR"/>
        </w:rPr>
        <w:t xml:space="preserve">, utilise des produits (start-up, contrats de recherche, accord de licence etc.),  des instruments (incubateurs, office de transfert TTO etc.), des  concepts (preuve de concept, maturation, pré-incubation, incubation etc.) qui sont largement codifiés par une trentaine d’années de pratiques. </w:t>
      </w:r>
    </w:p>
    <w:p w14:paraId="0D60F365" w14:textId="77777777" w:rsidR="00A15968" w:rsidRPr="00F84460" w:rsidRDefault="00A15968" w:rsidP="00A15968">
      <w:pPr>
        <w:spacing w:after="0"/>
        <w:jc w:val="both"/>
        <w:rPr>
          <w:szCs w:val="22"/>
          <w:lang w:eastAsia="fr-FR"/>
        </w:rPr>
      </w:pPr>
    </w:p>
    <w:p w14:paraId="5B662E79" w14:textId="77777777" w:rsidR="00A15968" w:rsidRPr="00D146CB" w:rsidRDefault="00A15968" w:rsidP="00A15968">
      <w:pPr>
        <w:spacing w:after="0"/>
        <w:jc w:val="both"/>
        <w:rPr>
          <w:szCs w:val="22"/>
          <w:lang w:eastAsia="fr-FR"/>
        </w:rPr>
      </w:pPr>
      <w:r w:rsidRPr="00D146CB">
        <w:rPr>
          <w:szCs w:val="22"/>
          <w:lang w:eastAsia="fr-FR"/>
        </w:rPr>
        <w:t xml:space="preserve">Dès lors, nous devons faciliter la </w:t>
      </w:r>
      <w:r w:rsidRPr="00EF6156">
        <w:rPr>
          <w:b/>
          <w:szCs w:val="22"/>
          <w:lang w:eastAsia="fr-FR"/>
        </w:rPr>
        <w:t xml:space="preserve">grille de lecture </w:t>
      </w:r>
      <w:r w:rsidRPr="00D146CB">
        <w:rPr>
          <w:szCs w:val="22"/>
          <w:lang w:eastAsia="fr-FR"/>
        </w:rPr>
        <w:t>de notre projet commun en tenant compte des pratiques et modèles internationaux qui vont servir de référence dans l’évaluation des projets SATT.</w:t>
      </w:r>
    </w:p>
    <w:p w14:paraId="7A11CE6A" w14:textId="77777777" w:rsidR="00A15968" w:rsidRPr="00F84460" w:rsidRDefault="00A15968" w:rsidP="00A15968">
      <w:pPr>
        <w:spacing w:after="0"/>
        <w:jc w:val="both"/>
        <w:rPr>
          <w:szCs w:val="22"/>
          <w:lang w:eastAsia="fr-FR"/>
        </w:rPr>
      </w:pPr>
    </w:p>
    <w:p w14:paraId="1828BF62" w14:textId="77777777" w:rsidR="00A15968" w:rsidRPr="00026185" w:rsidRDefault="00A15968" w:rsidP="00A15968">
      <w:pPr>
        <w:spacing w:after="0"/>
        <w:jc w:val="both"/>
        <w:rPr>
          <w:szCs w:val="22"/>
          <w:lang w:eastAsia="fr-FR"/>
        </w:rPr>
      </w:pPr>
      <w:r w:rsidRPr="00F84460">
        <w:rPr>
          <w:szCs w:val="22"/>
          <w:lang w:eastAsia="fr-FR"/>
        </w:rPr>
        <w:t xml:space="preserve">Aussi, </w:t>
      </w:r>
      <w:r w:rsidRPr="00F84460">
        <w:rPr>
          <w:b/>
          <w:szCs w:val="22"/>
          <w:lang w:eastAsia="fr-FR"/>
        </w:rPr>
        <w:t>nous proposons</w:t>
      </w:r>
      <w:r w:rsidRPr="00F84460">
        <w:rPr>
          <w:szCs w:val="22"/>
          <w:lang w:eastAsia="fr-FR"/>
        </w:rPr>
        <w:t xml:space="preserve">, en vue de poursuivre le dialogue, la </w:t>
      </w:r>
      <w:r w:rsidRPr="008B371D">
        <w:rPr>
          <w:b/>
          <w:szCs w:val="22"/>
          <w:lang w:eastAsia="fr-FR"/>
        </w:rPr>
        <w:t>clarification</w:t>
      </w:r>
      <w:r w:rsidRPr="00F84460">
        <w:rPr>
          <w:szCs w:val="22"/>
          <w:lang w:eastAsia="fr-FR"/>
        </w:rPr>
        <w:t xml:space="preserve"> suivante concernant </w:t>
      </w:r>
      <w:r w:rsidRPr="00026185">
        <w:rPr>
          <w:szCs w:val="22"/>
          <w:lang w:eastAsia="fr-FR"/>
        </w:rPr>
        <w:t>l’accompagnement à la création d’entreprise par les trois familles d’acteurs que sont la SATT Ouest Valorisation, les incubateurs, les technopoles.</w:t>
      </w:r>
    </w:p>
    <w:p w14:paraId="6E42C447" w14:textId="77777777" w:rsidR="00A15968" w:rsidRDefault="00A15968" w:rsidP="00681EDC">
      <w:pPr>
        <w:tabs>
          <w:tab w:val="left" w:pos="3700"/>
        </w:tabs>
        <w:spacing w:after="0"/>
        <w:jc w:val="both"/>
        <w:rPr>
          <w:szCs w:val="22"/>
          <w:lang w:eastAsia="fr-FR"/>
        </w:rPr>
      </w:pPr>
    </w:p>
    <w:p w14:paraId="1270C20B" w14:textId="77777777" w:rsidR="00681EDC" w:rsidRPr="00026185" w:rsidRDefault="00681EDC" w:rsidP="00681EDC">
      <w:pPr>
        <w:tabs>
          <w:tab w:val="left" w:pos="3700"/>
        </w:tabs>
        <w:spacing w:after="0"/>
        <w:jc w:val="both"/>
        <w:rPr>
          <w:szCs w:val="22"/>
          <w:lang w:eastAsia="fr-FR"/>
        </w:rPr>
      </w:pPr>
      <w:r>
        <w:rPr>
          <w:szCs w:val="22"/>
          <w:lang w:eastAsia="fr-FR"/>
        </w:rPr>
        <w:t>Dans ce contexte</w:t>
      </w:r>
      <w:r w:rsidRPr="00026185">
        <w:rPr>
          <w:szCs w:val="22"/>
          <w:lang w:eastAsia="fr-FR"/>
        </w:rPr>
        <w:t xml:space="preserve">, si un projet est </w:t>
      </w:r>
      <w:r w:rsidRPr="00E450EF">
        <w:rPr>
          <w:b/>
          <w:szCs w:val="22"/>
          <w:lang w:eastAsia="fr-FR"/>
        </w:rPr>
        <w:t>initié par une équipe académique</w:t>
      </w:r>
      <w:r w:rsidRPr="00026185">
        <w:rPr>
          <w:szCs w:val="22"/>
          <w:lang w:eastAsia="fr-FR"/>
        </w:rPr>
        <w:t xml:space="preserve">, qu’il s’agisse de transfert ou de projet de création d’entreprise, la </w:t>
      </w:r>
      <w:r w:rsidRPr="00E450EF">
        <w:rPr>
          <w:b/>
          <w:szCs w:val="22"/>
          <w:lang w:eastAsia="fr-FR"/>
        </w:rPr>
        <w:t>SATT pilote</w:t>
      </w:r>
      <w:r w:rsidRPr="00026185">
        <w:rPr>
          <w:szCs w:val="22"/>
          <w:lang w:eastAsia="fr-FR"/>
        </w:rPr>
        <w:t xml:space="preserve">, sous réserve que l’établissement de recherche en ait confié le mandat.  Les technopoles et incubateurs seront associés, comme indiqué à de nombreuses reprises. </w:t>
      </w:r>
    </w:p>
    <w:p w14:paraId="0AD0E95B" w14:textId="77777777" w:rsidR="00681EDC" w:rsidRPr="00026185" w:rsidRDefault="00681EDC" w:rsidP="00681EDC">
      <w:pPr>
        <w:tabs>
          <w:tab w:val="left" w:pos="3700"/>
        </w:tabs>
        <w:spacing w:after="0"/>
        <w:jc w:val="both"/>
        <w:rPr>
          <w:szCs w:val="22"/>
          <w:lang w:eastAsia="fr-FR"/>
        </w:rPr>
      </w:pPr>
    </w:p>
    <w:p w14:paraId="0B94F4DF" w14:textId="77777777" w:rsidR="00681EDC" w:rsidRDefault="00681EDC" w:rsidP="00681EDC">
      <w:pPr>
        <w:suppressAutoHyphens/>
        <w:spacing w:after="0"/>
        <w:jc w:val="both"/>
      </w:pPr>
      <w:r>
        <w:t>S</w:t>
      </w:r>
      <w:r w:rsidRPr="00A43B18">
        <w:t xml:space="preserve">i un projet d’origine </w:t>
      </w:r>
      <w:r w:rsidRPr="00E450EF">
        <w:rPr>
          <w:b/>
        </w:rPr>
        <w:t>non académique</w:t>
      </w:r>
      <w:r w:rsidRPr="00A43B18">
        <w:t xml:space="preserve"> s’appuie sur un laboratoire académique, l’évaluation sera </w:t>
      </w:r>
      <w:r w:rsidRPr="00E450EF">
        <w:rPr>
          <w:b/>
        </w:rPr>
        <w:t>pilotée par les technopoles</w:t>
      </w:r>
      <w:r w:rsidRPr="00A43B18">
        <w:t xml:space="preserve">. </w:t>
      </w:r>
      <w:r>
        <w:t xml:space="preserve">L’accès au laboratoire est évidemment possible aux opérateurs de terrain. La </w:t>
      </w:r>
      <w:r w:rsidRPr="00E450EF">
        <w:rPr>
          <w:b/>
        </w:rPr>
        <w:t>SATT</w:t>
      </w:r>
      <w:r>
        <w:t xml:space="preserve"> sera </w:t>
      </w:r>
      <w:r w:rsidRPr="00E450EF">
        <w:rPr>
          <w:b/>
        </w:rPr>
        <w:t>sollicitée</w:t>
      </w:r>
      <w:r>
        <w:t xml:space="preserve"> pour </w:t>
      </w:r>
      <w:r w:rsidRPr="00E450EF">
        <w:rPr>
          <w:b/>
        </w:rPr>
        <w:t>organiser</w:t>
      </w:r>
      <w:r>
        <w:t xml:space="preserve"> le </w:t>
      </w:r>
      <w:r w:rsidRPr="00E450EF">
        <w:rPr>
          <w:b/>
        </w:rPr>
        <w:t>partenariat avec l’équipe de recherche</w:t>
      </w:r>
      <w:r>
        <w:t xml:space="preserve"> concernée. </w:t>
      </w:r>
    </w:p>
    <w:p w14:paraId="6C82B3F3" w14:textId="77777777" w:rsidR="00681EDC" w:rsidRPr="00F84460" w:rsidRDefault="00681EDC" w:rsidP="00681EDC">
      <w:pPr>
        <w:tabs>
          <w:tab w:val="left" w:pos="3700"/>
        </w:tabs>
        <w:spacing w:after="0"/>
        <w:jc w:val="both"/>
        <w:rPr>
          <w:szCs w:val="22"/>
          <w:lang w:eastAsia="fr-FR"/>
        </w:rPr>
      </w:pPr>
    </w:p>
    <w:p w14:paraId="6D3E602B" w14:textId="77777777" w:rsidR="00681EDC" w:rsidRPr="00F84460" w:rsidRDefault="00681EDC" w:rsidP="00681EDC">
      <w:pPr>
        <w:tabs>
          <w:tab w:val="left" w:pos="3700"/>
        </w:tabs>
        <w:spacing w:after="0"/>
        <w:jc w:val="both"/>
        <w:rPr>
          <w:szCs w:val="22"/>
          <w:lang w:eastAsia="fr-FR"/>
        </w:rPr>
      </w:pPr>
    </w:p>
    <w:p w14:paraId="0CFC4B3C" w14:textId="162BB431" w:rsidR="00550694" w:rsidRDefault="00B6243F" w:rsidP="00681EDC">
      <w:pPr>
        <w:tabs>
          <w:tab w:val="left" w:pos="3700"/>
        </w:tabs>
        <w:spacing w:after="0"/>
        <w:jc w:val="both"/>
        <w:rPr>
          <w:b/>
          <w:szCs w:val="22"/>
          <w:lang w:eastAsia="fr-FR"/>
        </w:rPr>
      </w:pPr>
      <w:r>
        <w:rPr>
          <w:szCs w:val="22"/>
          <w:lang w:eastAsia="fr-FR"/>
        </w:rPr>
        <w:t>Précisons, que l</w:t>
      </w:r>
      <w:r w:rsidR="00681EDC" w:rsidRPr="00F84460">
        <w:rPr>
          <w:szCs w:val="22"/>
          <w:lang w:eastAsia="fr-FR"/>
        </w:rPr>
        <w:t xml:space="preserve">’objectif de la SATT est clairement de </w:t>
      </w:r>
      <w:r w:rsidR="00681EDC" w:rsidRPr="00F84460">
        <w:rPr>
          <w:b/>
          <w:szCs w:val="22"/>
          <w:lang w:eastAsia="fr-FR"/>
        </w:rPr>
        <w:t>valoriser sur ses territoires</w:t>
      </w:r>
      <w:r w:rsidR="00681EDC" w:rsidRPr="00F84460">
        <w:rPr>
          <w:szCs w:val="22"/>
          <w:lang w:eastAsia="fr-FR"/>
        </w:rPr>
        <w:t xml:space="preserve">, notamment par la création d’entreprise. La SATT est à la fois société d’ingénierie et investisseur. Au demeurant, la SATT doit avoir la </w:t>
      </w:r>
      <w:r w:rsidR="00681EDC" w:rsidRPr="00F84460">
        <w:rPr>
          <w:b/>
          <w:szCs w:val="22"/>
          <w:lang w:eastAsia="fr-FR"/>
        </w:rPr>
        <w:t>maitrise de ses investissements</w:t>
      </w:r>
      <w:r w:rsidR="00681EDC" w:rsidRPr="00F84460">
        <w:rPr>
          <w:szCs w:val="22"/>
          <w:lang w:eastAsia="fr-FR"/>
        </w:rPr>
        <w:t xml:space="preserve">. </w:t>
      </w:r>
      <w:r w:rsidR="00681EDC" w:rsidRPr="00B6243F">
        <w:rPr>
          <w:b/>
          <w:szCs w:val="22"/>
          <w:lang w:eastAsia="fr-FR"/>
        </w:rPr>
        <w:t>L’incubateur</w:t>
      </w:r>
      <w:r w:rsidR="00681EDC" w:rsidRPr="00F84460">
        <w:rPr>
          <w:szCs w:val="22"/>
          <w:lang w:eastAsia="fr-FR"/>
        </w:rPr>
        <w:t xml:space="preserve"> dispose </w:t>
      </w:r>
      <w:r w:rsidR="00681EDC" w:rsidRPr="00B6243F">
        <w:rPr>
          <w:b/>
          <w:szCs w:val="22"/>
          <w:lang w:eastAsia="fr-FR"/>
        </w:rPr>
        <w:t>d’enveloppes budgétaires</w:t>
      </w:r>
      <w:r w:rsidR="00681EDC" w:rsidRPr="00F84460">
        <w:rPr>
          <w:szCs w:val="22"/>
          <w:lang w:eastAsia="fr-FR"/>
        </w:rPr>
        <w:t xml:space="preserve"> d’accompagnements nationaux et régionaux dont il a la responsabilité. Il doit en avoir la </w:t>
      </w:r>
      <w:r w:rsidR="00681EDC" w:rsidRPr="00B6243F">
        <w:rPr>
          <w:b/>
          <w:szCs w:val="22"/>
          <w:lang w:eastAsia="fr-FR"/>
        </w:rPr>
        <w:t>maitrise budgétaire</w:t>
      </w:r>
      <w:r w:rsidR="00681EDC" w:rsidRPr="00F84460">
        <w:rPr>
          <w:b/>
          <w:szCs w:val="22"/>
          <w:lang w:eastAsia="fr-FR"/>
        </w:rPr>
        <w:t xml:space="preserve">. </w:t>
      </w:r>
    </w:p>
    <w:p w14:paraId="45DEE8C8" w14:textId="77777777" w:rsidR="00550694" w:rsidRDefault="00550694" w:rsidP="00681EDC">
      <w:pPr>
        <w:tabs>
          <w:tab w:val="left" w:pos="3700"/>
        </w:tabs>
        <w:spacing w:after="0"/>
        <w:jc w:val="both"/>
        <w:rPr>
          <w:b/>
          <w:szCs w:val="22"/>
          <w:lang w:eastAsia="fr-FR"/>
        </w:rPr>
      </w:pPr>
    </w:p>
    <w:p w14:paraId="57FB84C4" w14:textId="789D1E53" w:rsidR="00681EDC" w:rsidRPr="00F84460" w:rsidRDefault="00681EDC" w:rsidP="00681EDC">
      <w:pPr>
        <w:tabs>
          <w:tab w:val="left" w:pos="3700"/>
        </w:tabs>
        <w:spacing w:after="0"/>
        <w:jc w:val="both"/>
        <w:rPr>
          <w:szCs w:val="22"/>
          <w:lang w:eastAsia="fr-FR"/>
        </w:rPr>
      </w:pPr>
      <w:r>
        <w:rPr>
          <w:b/>
          <w:szCs w:val="22"/>
          <w:lang w:eastAsia="fr-FR"/>
        </w:rPr>
        <w:t xml:space="preserve">La </w:t>
      </w:r>
      <w:r w:rsidRPr="00F84460">
        <w:rPr>
          <w:b/>
          <w:szCs w:val="22"/>
          <w:lang w:eastAsia="fr-FR"/>
        </w:rPr>
        <w:t xml:space="preserve"> proposition </w:t>
      </w:r>
      <w:r>
        <w:rPr>
          <w:b/>
          <w:szCs w:val="22"/>
          <w:lang w:eastAsia="fr-FR"/>
        </w:rPr>
        <w:t xml:space="preserve">de la </w:t>
      </w:r>
      <w:r w:rsidR="00A15968">
        <w:rPr>
          <w:b/>
          <w:szCs w:val="22"/>
          <w:lang w:eastAsia="fr-FR"/>
        </w:rPr>
        <w:t xml:space="preserve">SATT </w:t>
      </w:r>
      <w:r w:rsidRPr="00F84460">
        <w:rPr>
          <w:b/>
          <w:szCs w:val="22"/>
          <w:lang w:eastAsia="fr-FR"/>
        </w:rPr>
        <w:t xml:space="preserve">est </w:t>
      </w:r>
      <w:r w:rsidRPr="00B6243F">
        <w:rPr>
          <w:b/>
          <w:szCs w:val="22"/>
          <w:lang w:eastAsia="fr-FR"/>
        </w:rPr>
        <w:t>respectueuse de ces deux éléments fondamentaux</w:t>
      </w:r>
      <w:r w:rsidRPr="00F84460">
        <w:rPr>
          <w:szCs w:val="22"/>
          <w:lang w:eastAsia="fr-FR"/>
        </w:rPr>
        <w:t xml:space="preserve">. Elle également, nous le pensons, partagée par la très grande majorité de nos collègues des technopoles et incubateurs. </w:t>
      </w:r>
      <w:r w:rsidR="008B371D">
        <w:rPr>
          <w:szCs w:val="22"/>
          <w:lang w:eastAsia="fr-FR"/>
        </w:rPr>
        <w:t>Le tableau ci dessous présente une proposition de répartition des activités entre acteurs, tant pour le pilotage que la participation</w:t>
      </w:r>
      <w:r w:rsidR="00B6243F">
        <w:rPr>
          <w:szCs w:val="22"/>
          <w:lang w:eastAsia="fr-FR"/>
        </w:rPr>
        <w:t xml:space="preserve">. </w:t>
      </w:r>
    </w:p>
    <w:p w14:paraId="672148B0" w14:textId="77777777" w:rsidR="003570A7" w:rsidRDefault="003570A7" w:rsidP="003570A7">
      <w:pPr>
        <w:spacing w:after="0"/>
        <w:jc w:val="both"/>
        <w:rPr>
          <w:b/>
          <w:szCs w:val="22"/>
          <w:lang w:eastAsia="fr-FR"/>
        </w:rPr>
      </w:pPr>
    </w:p>
    <w:p w14:paraId="02EE80F3" w14:textId="77777777" w:rsidR="003570A7" w:rsidRPr="00F84460" w:rsidRDefault="003570A7" w:rsidP="003570A7">
      <w:pPr>
        <w:spacing w:after="0"/>
        <w:jc w:val="both"/>
        <w:rPr>
          <w:b/>
          <w:szCs w:val="22"/>
          <w:lang w:eastAsia="fr-FR"/>
        </w:rPr>
      </w:pPr>
      <w:r w:rsidRPr="00F84460">
        <w:rPr>
          <w:b/>
          <w:szCs w:val="22"/>
          <w:lang w:eastAsia="fr-FR"/>
        </w:rPr>
        <w:t xml:space="preserve">Proposition de positionnement des structures sur la chaine </w:t>
      </w:r>
      <w:r w:rsidRPr="00D146CB">
        <w:rPr>
          <w:b/>
          <w:szCs w:val="22"/>
          <w:lang w:eastAsia="fr-FR"/>
        </w:rPr>
        <w:t>d’accompagnement</w:t>
      </w:r>
      <w:r>
        <w:rPr>
          <w:b/>
          <w:szCs w:val="22"/>
          <w:lang w:eastAsia="fr-FR"/>
        </w:rPr>
        <w:t xml:space="preserve"> de la création d’entreprise</w:t>
      </w: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3"/>
        <w:gridCol w:w="542"/>
        <w:gridCol w:w="550"/>
        <w:gridCol w:w="567"/>
        <w:gridCol w:w="2179"/>
        <w:gridCol w:w="1625"/>
        <w:gridCol w:w="1655"/>
      </w:tblGrid>
      <w:tr w:rsidR="003570A7" w:rsidRPr="00EB3861" w14:paraId="04BA53C1" w14:textId="77777777" w:rsidTr="00604FD9">
        <w:trPr>
          <w:trHeight w:val="400"/>
        </w:trPr>
        <w:tc>
          <w:tcPr>
            <w:tcW w:w="3652" w:type="dxa"/>
            <w:gridSpan w:val="4"/>
            <w:shd w:val="clear" w:color="auto" w:fill="auto"/>
          </w:tcPr>
          <w:p w14:paraId="12D5AB2B" w14:textId="77777777" w:rsidR="003570A7" w:rsidRPr="00EB3861" w:rsidRDefault="003570A7" w:rsidP="003570A7">
            <w:pPr>
              <w:spacing w:after="0"/>
              <w:jc w:val="both"/>
              <w:rPr>
                <w:szCs w:val="22"/>
                <w:lang w:eastAsia="fr-FR"/>
              </w:rPr>
            </w:pPr>
          </w:p>
        </w:tc>
        <w:tc>
          <w:tcPr>
            <w:tcW w:w="2179" w:type="dxa"/>
            <w:tcBorders>
              <w:bottom w:val="single" w:sz="4" w:space="0" w:color="auto"/>
            </w:tcBorders>
            <w:shd w:val="clear" w:color="auto" w:fill="auto"/>
            <w:vAlign w:val="center"/>
          </w:tcPr>
          <w:p w14:paraId="2A144FA4" w14:textId="77777777" w:rsidR="003570A7" w:rsidRPr="00EB3861" w:rsidRDefault="003570A7" w:rsidP="003570A7">
            <w:pPr>
              <w:spacing w:after="0"/>
              <w:jc w:val="center"/>
              <w:rPr>
                <w:szCs w:val="22"/>
                <w:lang w:eastAsia="fr-FR"/>
              </w:rPr>
            </w:pPr>
            <w:r>
              <w:rPr>
                <w:szCs w:val="22"/>
                <w:lang w:eastAsia="fr-FR"/>
              </w:rPr>
              <w:t xml:space="preserve">Ouest </w:t>
            </w:r>
            <w:proofErr w:type="spellStart"/>
            <w:r>
              <w:rPr>
                <w:szCs w:val="22"/>
                <w:lang w:eastAsia="fr-FR"/>
              </w:rPr>
              <w:t>Valo</w:t>
            </w:r>
            <w:proofErr w:type="spellEnd"/>
          </w:p>
        </w:tc>
        <w:tc>
          <w:tcPr>
            <w:tcW w:w="1625" w:type="dxa"/>
            <w:shd w:val="clear" w:color="auto" w:fill="auto"/>
            <w:vAlign w:val="center"/>
          </w:tcPr>
          <w:p w14:paraId="684007D7" w14:textId="77777777" w:rsidR="003570A7" w:rsidRPr="00EB3861" w:rsidRDefault="003570A7" w:rsidP="003570A7">
            <w:pPr>
              <w:spacing w:after="0"/>
              <w:jc w:val="center"/>
              <w:rPr>
                <w:szCs w:val="22"/>
                <w:lang w:eastAsia="fr-FR"/>
              </w:rPr>
            </w:pPr>
            <w:r>
              <w:rPr>
                <w:szCs w:val="22"/>
                <w:lang w:eastAsia="fr-FR"/>
              </w:rPr>
              <w:t>Incubateur</w:t>
            </w:r>
          </w:p>
        </w:tc>
        <w:tc>
          <w:tcPr>
            <w:tcW w:w="1655" w:type="dxa"/>
            <w:shd w:val="clear" w:color="auto" w:fill="auto"/>
            <w:vAlign w:val="center"/>
          </w:tcPr>
          <w:p w14:paraId="7B79A4F5" w14:textId="77777777" w:rsidR="003570A7" w:rsidRPr="00EB3861" w:rsidRDefault="003570A7" w:rsidP="003570A7">
            <w:pPr>
              <w:spacing w:after="0"/>
              <w:jc w:val="center"/>
              <w:rPr>
                <w:szCs w:val="22"/>
                <w:lang w:eastAsia="fr-FR"/>
              </w:rPr>
            </w:pPr>
            <w:r>
              <w:rPr>
                <w:szCs w:val="22"/>
                <w:lang w:eastAsia="fr-FR"/>
              </w:rPr>
              <w:t>Technopole</w:t>
            </w:r>
          </w:p>
        </w:tc>
      </w:tr>
      <w:tr w:rsidR="003570A7" w:rsidRPr="00EB3861" w14:paraId="4B83CAA2" w14:textId="77777777" w:rsidTr="00604FD9">
        <w:trPr>
          <w:trHeight w:hRule="exact" w:val="874"/>
        </w:trPr>
        <w:tc>
          <w:tcPr>
            <w:tcW w:w="1993" w:type="dxa"/>
            <w:shd w:val="clear" w:color="auto" w:fill="auto"/>
            <w:vAlign w:val="center"/>
          </w:tcPr>
          <w:p w14:paraId="7B2BB341" w14:textId="77777777" w:rsidR="003570A7" w:rsidRPr="00EB3861" w:rsidRDefault="003570A7" w:rsidP="003570A7">
            <w:pPr>
              <w:spacing w:after="0"/>
              <w:rPr>
                <w:szCs w:val="22"/>
                <w:lang w:eastAsia="fr-FR"/>
              </w:rPr>
            </w:pPr>
            <w:r w:rsidRPr="00EB3861">
              <w:rPr>
                <w:szCs w:val="22"/>
                <w:lang w:eastAsia="fr-FR"/>
              </w:rPr>
              <w:t>Détection</w:t>
            </w:r>
          </w:p>
        </w:tc>
        <w:tc>
          <w:tcPr>
            <w:tcW w:w="542" w:type="dxa"/>
            <w:vMerge w:val="restart"/>
            <w:tcBorders>
              <w:right w:val="single" w:sz="4" w:space="0" w:color="auto"/>
            </w:tcBorders>
            <w:shd w:val="clear" w:color="auto" w:fill="CCFFFF"/>
            <w:textDirection w:val="btLr"/>
          </w:tcPr>
          <w:p w14:paraId="5688C1E4" w14:textId="77777777" w:rsidR="003570A7" w:rsidRPr="00EB3861" w:rsidRDefault="003570A7" w:rsidP="003570A7">
            <w:pPr>
              <w:spacing w:after="0"/>
              <w:ind w:left="113" w:right="113"/>
              <w:jc w:val="center"/>
              <w:rPr>
                <w:szCs w:val="22"/>
                <w:lang w:eastAsia="fr-FR"/>
              </w:rPr>
            </w:pPr>
            <w:r>
              <w:rPr>
                <w:szCs w:val="22"/>
                <w:lang w:eastAsia="fr-FR"/>
              </w:rPr>
              <w:t>Maturation, pré-incubation</w:t>
            </w:r>
          </w:p>
        </w:tc>
        <w:tc>
          <w:tcPr>
            <w:tcW w:w="550" w:type="dxa"/>
            <w:vMerge w:val="restart"/>
            <w:tcBorders>
              <w:left w:val="single" w:sz="4" w:space="0" w:color="auto"/>
            </w:tcBorders>
            <w:shd w:val="clear" w:color="auto" w:fill="auto"/>
          </w:tcPr>
          <w:p w14:paraId="57833CA4" w14:textId="77777777" w:rsidR="003570A7" w:rsidRPr="00EB3861" w:rsidRDefault="003570A7" w:rsidP="003570A7">
            <w:pPr>
              <w:spacing w:after="0"/>
              <w:jc w:val="center"/>
              <w:rPr>
                <w:szCs w:val="22"/>
                <w:lang w:eastAsia="fr-FR"/>
              </w:rPr>
            </w:pPr>
          </w:p>
        </w:tc>
        <w:tc>
          <w:tcPr>
            <w:tcW w:w="567" w:type="dxa"/>
            <w:vMerge w:val="restart"/>
            <w:tcBorders>
              <w:left w:val="single" w:sz="4" w:space="0" w:color="auto"/>
            </w:tcBorders>
            <w:shd w:val="clear" w:color="auto" w:fill="auto"/>
          </w:tcPr>
          <w:p w14:paraId="60BA403C" w14:textId="77777777" w:rsidR="003570A7" w:rsidRPr="00EB3861" w:rsidRDefault="003570A7" w:rsidP="003570A7">
            <w:pPr>
              <w:spacing w:after="0"/>
              <w:jc w:val="center"/>
              <w:rPr>
                <w:szCs w:val="22"/>
                <w:lang w:eastAsia="fr-FR"/>
              </w:rPr>
            </w:pPr>
          </w:p>
        </w:tc>
        <w:tc>
          <w:tcPr>
            <w:tcW w:w="2179" w:type="dxa"/>
            <w:shd w:val="clear" w:color="auto" w:fill="CCFFFF"/>
            <w:vAlign w:val="center"/>
          </w:tcPr>
          <w:p w14:paraId="643F23C6" w14:textId="77777777" w:rsidR="003570A7" w:rsidRPr="006B7A54" w:rsidRDefault="003570A7" w:rsidP="003570A7">
            <w:pPr>
              <w:spacing w:after="0"/>
              <w:jc w:val="center"/>
              <w:rPr>
                <w:sz w:val="20"/>
                <w:szCs w:val="20"/>
                <w:lang w:eastAsia="fr-FR"/>
              </w:rPr>
            </w:pPr>
            <w:r w:rsidRPr="006B7A54">
              <w:rPr>
                <w:sz w:val="20"/>
                <w:szCs w:val="20"/>
                <w:lang w:eastAsia="fr-FR"/>
              </w:rPr>
              <w:t>P</w:t>
            </w:r>
            <w:r>
              <w:rPr>
                <w:sz w:val="20"/>
                <w:szCs w:val="20"/>
                <w:lang w:eastAsia="fr-FR"/>
              </w:rPr>
              <w:t>ilotage p</w:t>
            </w:r>
            <w:r w:rsidRPr="006B7A54">
              <w:rPr>
                <w:sz w:val="20"/>
                <w:szCs w:val="20"/>
                <w:lang w:eastAsia="fr-FR"/>
              </w:rPr>
              <w:t>rojet issu ou adossé</w:t>
            </w:r>
          </w:p>
        </w:tc>
        <w:tc>
          <w:tcPr>
            <w:tcW w:w="1625" w:type="dxa"/>
            <w:shd w:val="clear" w:color="auto" w:fill="auto"/>
            <w:vAlign w:val="center"/>
          </w:tcPr>
          <w:p w14:paraId="654C44EF" w14:textId="77777777" w:rsidR="003570A7" w:rsidRPr="006B7A54" w:rsidRDefault="003570A7" w:rsidP="003570A7">
            <w:pPr>
              <w:spacing w:after="0"/>
              <w:jc w:val="center"/>
              <w:rPr>
                <w:sz w:val="20"/>
                <w:szCs w:val="20"/>
                <w:lang w:eastAsia="fr-FR"/>
              </w:rPr>
            </w:pPr>
          </w:p>
        </w:tc>
        <w:tc>
          <w:tcPr>
            <w:tcW w:w="1655" w:type="dxa"/>
            <w:shd w:val="clear" w:color="auto" w:fill="auto"/>
            <w:vAlign w:val="center"/>
          </w:tcPr>
          <w:p w14:paraId="39FD7524" w14:textId="77777777" w:rsidR="003570A7" w:rsidRPr="006B7A54" w:rsidRDefault="003570A7" w:rsidP="003570A7">
            <w:pPr>
              <w:spacing w:after="0"/>
              <w:jc w:val="center"/>
              <w:rPr>
                <w:sz w:val="20"/>
                <w:szCs w:val="20"/>
                <w:lang w:eastAsia="fr-FR"/>
              </w:rPr>
            </w:pPr>
            <w:r w:rsidRPr="006B7A54">
              <w:rPr>
                <w:sz w:val="20"/>
                <w:szCs w:val="20"/>
                <w:lang w:eastAsia="fr-FR"/>
              </w:rPr>
              <w:t>Recherche compétence</w:t>
            </w:r>
            <w:r>
              <w:rPr>
                <w:sz w:val="20"/>
                <w:szCs w:val="20"/>
                <w:lang w:eastAsia="fr-FR"/>
              </w:rPr>
              <w:t>s</w:t>
            </w:r>
            <w:r w:rsidRPr="006B7A54">
              <w:rPr>
                <w:sz w:val="20"/>
                <w:szCs w:val="20"/>
                <w:lang w:eastAsia="fr-FR"/>
              </w:rPr>
              <w:t xml:space="preserve"> pour projet adossés</w:t>
            </w:r>
          </w:p>
        </w:tc>
      </w:tr>
      <w:tr w:rsidR="003570A7" w:rsidRPr="00EB3861" w14:paraId="4DB28632" w14:textId="77777777" w:rsidTr="00604FD9">
        <w:trPr>
          <w:trHeight w:hRule="exact" w:val="746"/>
        </w:trPr>
        <w:tc>
          <w:tcPr>
            <w:tcW w:w="1993" w:type="dxa"/>
            <w:shd w:val="clear" w:color="auto" w:fill="auto"/>
            <w:vAlign w:val="center"/>
          </w:tcPr>
          <w:p w14:paraId="1A01798D" w14:textId="77777777" w:rsidR="003570A7" w:rsidRPr="00EB3861" w:rsidRDefault="003570A7" w:rsidP="003570A7">
            <w:pPr>
              <w:spacing w:after="0"/>
              <w:rPr>
                <w:szCs w:val="22"/>
                <w:lang w:eastAsia="fr-FR"/>
              </w:rPr>
            </w:pPr>
            <w:r w:rsidRPr="00EB3861">
              <w:rPr>
                <w:szCs w:val="22"/>
                <w:lang w:eastAsia="fr-FR"/>
              </w:rPr>
              <w:t>Sélection</w:t>
            </w:r>
          </w:p>
        </w:tc>
        <w:tc>
          <w:tcPr>
            <w:tcW w:w="542" w:type="dxa"/>
            <w:vMerge/>
            <w:tcBorders>
              <w:right w:val="single" w:sz="4" w:space="0" w:color="auto"/>
            </w:tcBorders>
            <w:shd w:val="clear" w:color="auto" w:fill="CCFFFF"/>
          </w:tcPr>
          <w:p w14:paraId="45A0E1C0" w14:textId="77777777" w:rsidR="003570A7" w:rsidRPr="00EB3861" w:rsidRDefault="003570A7" w:rsidP="003570A7">
            <w:pPr>
              <w:spacing w:after="0"/>
              <w:jc w:val="center"/>
              <w:rPr>
                <w:szCs w:val="22"/>
                <w:lang w:eastAsia="fr-FR"/>
              </w:rPr>
            </w:pPr>
          </w:p>
        </w:tc>
        <w:tc>
          <w:tcPr>
            <w:tcW w:w="550" w:type="dxa"/>
            <w:vMerge/>
            <w:tcBorders>
              <w:left w:val="single" w:sz="4" w:space="0" w:color="auto"/>
            </w:tcBorders>
            <w:shd w:val="clear" w:color="auto" w:fill="auto"/>
          </w:tcPr>
          <w:p w14:paraId="4801602F" w14:textId="77777777" w:rsidR="003570A7" w:rsidRPr="00EB3861" w:rsidRDefault="003570A7" w:rsidP="003570A7">
            <w:pPr>
              <w:spacing w:after="0"/>
              <w:jc w:val="center"/>
              <w:rPr>
                <w:szCs w:val="22"/>
                <w:lang w:eastAsia="fr-FR"/>
              </w:rPr>
            </w:pPr>
          </w:p>
        </w:tc>
        <w:tc>
          <w:tcPr>
            <w:tcW w:w="567" w:type="dxa"/>
            <w:vMerge/>
            <w:tcBorders>
              <w:left w:val="single" w:sz="4" w:space="0" w:color="auto"/>
            </w:tcBorders>
            <w:shd w:val="clear" w:color="auto" w:fill="auto"/>
          </w:tcPr>
          <w:p w14:paraId="77D3D851" w14:textId="77777777" w:rsidR="003570A7" w:rsidRPr="00EB3861" w:rsidRDefault="003570A7" w:rsidP="003570A7">
            <w:pPr>
              <w:spacing w:after="0"/>
              <w:jc w:val="center"/>
              <w:rPr>
                <w:szCs w:val="22"/>
                <w:lang w:eastAsia="fr-FR"/>
              </w:rPr>
            </w:pPr>
          </w:p>
        </w:tc>
        <w:tc>
          <w:tcPr>
            <w:tcW w:w="2179" w:type="dxa"/>
            <w:shd w:val="clear" w:color="auto" w:fill="CCFFFF"/>
            <w:vAlign w:val="center"/>
          </w:tcPr>
          <w:p w14:paraId="151E9530" w14:textId="77777777" w:rsidR="003570A7" w:rsidRPr="006B7A54" w:rsidRDefault="003570A7" w:rsidP="003570A7">
            <w:pPr>
              <w:spacing w:after="0"/>
              <w:jc w:val="center"/>
              <w:rPr>
                <w:sz w:val="20"/>
                <w:szCs w:val="20"/>
                <w:lang w:eastAsia="fr-FR"/>
              </w:rPr>
            </w:pPr>
            <w:r>
              <w:rPr>
                <w:sz w:val="20"/>
                <w:szCs w:val="20"/>
                <w:lang w:eastAsia="fr-FR"/>
              </w:rPr>
              <w:t>Pilotage E</w:t>
            </w:r>
            <w:r w:rsidRPr="006B7A54">
              <w:rPr>
                <w:sz w:val="20"/>
                <w:szCs w:val="20"/>
                <w:lang w:eastAsia="fr-FR"/>
              </w:rPr>
              <w:t>ngagement établissement</w:t>
            </w:r>
          </w:p>
        </w:tc>
        <w:tc>
          <w:tcPr>
            <w:tcW w:w="1625" w:type="dxa"/>
            <w:shd w:val="clear" w:color="auto" w:fill="auto"/>
            <w:vAlign w:val="center"/>
          </w:tcPr>
          <w:p w14:paraId="514E0C5B" w14:textId="77777777" w:rsidR="003570A7" w:rsidRPr="006B7A54" w:rsidRDefault="003570A7" w:rsidP="003570A7">
            <w:pPr>
              <w:spacing w:after="0"/>
              <w:jc w:val="center"/>
              <w:rPr>
                <w:sz w:val="20"/>
                <w:szCs w:val="20"/>
                <w:lang w:eastAsia="fr-FR"/>
              </w:rPr>
            </w:pPr>
          </w:p>
        </w:tc>
        <w:tc>
          <w:tcPr>
            <w:tcW w:w="1655" w:type="dxa"/>
            <w:shd w:val="clear" w:color="auto" w:fill="auto"/>
            <w:vAlign w:val="center"/>
          </w:tcPr>
          <w:p w14:paraId="3A3CE88F" w14:textId="77777777" w:rsidR="003570A7" w:rsidRPr="006B7A54" w:rsidRDefault="003570A7" w:rsidP="003570A7">
            <w:pPr>
              <w:spacing w:after="0"/>
              <w:jc w:val="center"/>
              <w:rPr>
                <w:sz w:val="20"/>
                <w:szCs w:val="20"/>
                <w:lang w:eastAsia="fr-FR"/>
              </w:rPr>
            </w:pPr>
            <w:r w:rsidRPr="006B7A54">
              <w:rPr>
                <w:sz w:val="20"/>
                <w:szCs w:val="20"/>
                <w:lang w:eastAsia="fr-FR"/>
              </w:rPr>
              <w:t>Associé</w:t>
            </w:r>
            <w:r>
              <w:rPr>
                <w:sz w:val="20"/>
                <w:szCs w:val="20"/>
                <w:lang w:eastAsia="fr-FR"/>
              </w:rPr>
              <w:t xml:space="preserve"> à la réflexion</w:t>
            </w:r>
          </w:p>
        </w:tc>
      </w:tr>
      <w:tr w:rsidR="003570A7" w:rsidRPr="00EB3861" w14:paraId="3970BC58" w14:textId="77777777" w:rsidTr="00604FD9">
        <w:trPr>
          <w:trHeight w:hRule="exact" w:val="859"/>
        </w:trPr>
        <w:tc>
          <w:tcPr>
            <w:tcW w:w="1993" w:type="dxa"/>
            <w:shd w:val="clear" w:color="auto" w:fill="auto"/>
            <w:vAlign w:val="center"/>
          </w:tcPr>
          <w:p w14:paraId="54D31A9B" w14:textId="77777777" w:rsidR="003570A7" w:rsidRPr="00EB3861" w:rsidRDefault="003570A7" w:rsidP="003570A7">
            <w:pPr>
              <w:spacing w:after="0"/>
              <w:rPr>
                <w:szCs w:val="22"/>
                <w:lang w:eastAsia="fr-FR"/>
              </w:rPr>
            </w:pPr>
            <w:r w:rsidRPr="00EB3861">
              <w:rPr>
                <w:szCs w:val="22"/>
                <w:lang w:eastAsia="fr-FR"/>
              </w:rPr>
              <w:t xml:space="preserve">Maturation </w:t>
            </w:r>
            <w:r>
              <w:rPr>
                <w:szCs w:val="22"/>
                <w:lang w:eastAsia="fr-FR"/>
              </w:rPr>
              <w:t xml:space="preserve">techno </w:t>
            </w:r>
            <w:r w:rsidRPr="00EB3861">
              <w:rPr>
                <w:szCs w:val="22"/>
                <w:lang w:eastAsia="fr-FR"/>
              </w:rPr>
              <w:t>initiale</w:t>
            </w:r>
          </w:p>
        </w:tc>
        <w:tc>
          <w:tcPr>
            <w:tcW w:w="542" w:type="dxa"/>
            <w:vMerge/>
            <w:tcBorders>
              <w:right w:val="single" w:sz="4" w:space="0" w:color="auto"/>
            </w:tcBorders>
            <w:shd w:val="clear" w:color="auto" w:fill="CCFFFF"/>
          </w:tcPr>
          <w:p w14:paraId="41B0A279" w14:textId="77777777" w:rsidR="003570A7" w:rsidRPr="00EB3861" w:rsidRDefault="003570A7" w:rsidP="003570A7">
            <w:pPr>
              <w:spacing w:after="0"/>
              <w:jc w:val="center"/>
              <w:rPr>
                <w:szCs w:val="22"/>
                <w:lang w:eastAsia="fr-FR"/>
              </w:rPr>
            </w:pPr>
          </w:p>
        </w:tc>
        <w:tc>
          <w:tcPr>
            <w:tcW w:w="550" w:type="dxa"/>
            <w:vMerge/>
            <w:tcBorders>
              <w:left w:val="single" w:sz="4" w:space="0" w:color="auto"/>
            </w:tcBorders>
            <w:shd w:val="clear" w:color="auto" w:fill="auto"/>
          </w:tcPr>
          <w:p w14:paraId="3055C098" w14:textId="77777777" w:rsidR="003570A7" w:rsidRPr="00EB3861" w:rsidRDefault="003570A7" w:rsidP="003570A7">
            <w:pPr>
              <w:spacing w:after="0"/>
              <w:jc w:val="center"/>
              <w:rPr>
                <w:szCs w:val="22"/>
                <w:lang w:eastAsia="fr-FR"/>
              </w:rPr>
            </w:pPr>
          </w:p>
        </w:tc>
        <w:tc>
          <w:tcPr>
            <w:tcW w:w="567" w:type="dxa"/>
            <w:vMerge/>
            <w:tcBorders>
              <w:left w:val="single" w:sz="4" w:space="0" w:color="auto"/>
            </w:tcBorders>
            <w:shd w:val="clear" w:color="auto" w:fill="auto"/>
          </w:tcPr>
          <w:p w14:paraId="64CA4961" w14:textId="77777777" w:rsidR="003570A7" w:rsidRPr="00EB3861" w:rsidRDefault="003570A7" w:rsidP="003570A7">
            <w:pPr>
              <w:spacing w:after="0"/>
              <w:jc w:val="center"/>
              <w:rPr>
                <w:szCs w:val="22"/>
                <w:lang w:eastAsia="fr-FR"/>
              </w:rPr>
            </w:pPr>
          </w:p>
        </w:tc>
        <w:tc>
          <w:tcPr>
            <w:tcW w:w="2179" w:type="dxa"/>
            <w:shd w:val="clear" w:color="auto" w:fill="CCFFFF"/>
            <w:vAlign w:val="center"/>
          </w:tcPr>
          <w:p w14:paraId="3F6DF6FD" w14:textId="77777777" w:rsidR="003570A7" w:rsidRPr="006B7A54" w:rsidRDefault="003570A7" w:rsidP="003570A7">
            <w:pPr>
              <w:spacing w:after="0"/>
              <w:jc w:val="center"/>
              <w:rPr>
                <w:sz w:val="20"/>
                <w:szCs w:val="20"/>
                <w:lang w:eastAsia="fr-FR"/>
              </w:rPr>
            </w:pPr>
            <w:r>
              <w:rPr>
                <w:sz w:val="20"/>
                <w:szCs w:val="20"/>
                <w:lang w:eastAsia="fr-FR"/>
              </w:rPr>
              <w:t>C</w:t>
            </w:r>
            <w:r w:rsidRPr="006B7A54">
              <w:rPr>
                <w:sz w:val="20"/>
                <w:szCs w:val="20"/>
                <w:lang w:eastAsia="fr-FR"/>
              </w:rPr>
              <w:t>omité interne</w:t>
            </w:r>
          </w:p>
        </w:tc>
        <w:tc>
          <w:tcPr>
            <w:tcW w:w="1625" w:type="dxa"/>
            <w:shd w:val="clear" w:color="auto" w:fill="auto"/>
            <w:vAlign w:val="center"/>
          </w:tcPr>
          <w:p w14:paraId="78A91F33" w14:textId="77777777" w:rsidR="003570A7" w:rsidRPr="006B7A54" w:rsidRDefault="003570A7" w:rsidP="003570A7">
            <w:pPr>
              <w:spacing w:after="0"/>
              <w:jc w:val="center"/>
              <w:rPr>
                <w:sz w:val="20"/>
                <w:szCs w:val="20"/>
                <w:lang w:eastAsia="fr-FR"/>
              </w:rPr>
            </w:pPr>
          </w:p>
        </w:tc>
        <w:tc>
          <w:tcPr>
            <w:tcW w:w="1655" w:type="dxa"/>
            <w:shd w:val="clear" w:color="auto" w:fill="auto"/>
            <w:vAlign w:val="center"/>
          </w:tcPr>
          <w:p w14:paraId="0B1ED8D3" w14:textId="77777777" w:rsidR="003570A7" w:rsidRPr="006B7A54" w:rsidRDefault="003570A7" w:rsidP="003570A7">
            <w:pPr>
              <w:spacing w:after="0"/>
              <w:jc w:val="center"/>
              <w:rPr>
                <w:sz w:val="20"/>
                <w:szCs w:val="20"/>
                <w:lang w:eastAsia="fr-FR"/>
              </w:rPr>
            </w:pPr>
            <w:r w:rsidRPr="006B7A54">
              <w:rPr>
                <w:sz w:val="20"/>
                <w:szCs w:val="20"/>
                <w:lang w:eastAsia="fr-FR"/>
              </w:rPr>
              <w:t xml:space="preserve">Associé </w:t>
            </w:r>
            <w:r>
              <w:rPr>
                <w:sz w:val="20"/>
                <w:szCs w:val="20"/>
                <w:lang w:eastAsia="fr-FR"/>
              </w:rPr>
              <w:t>si projet de création déjà identifié</w:t>
            </w:r>
          </w:p>
        </w:tc>
      </w:tr>
      <w:tr w:rsidR="003570A7" w:rsidRPr="00EB3861" w14:paraId="7A399060" w14:textId="77777777" w:rsidTr="00604FD9">
        <w:trPr>
          <w:trHeight w:hRule="exact" w:val="560"/>
        </w:trPr>
        <w:tc>
          <w:tcPr>
            <w:tcW w:w="1993" w:type="dxa"/>
            <w:tcBorders>
              <w:bottom w:val="single" w:sz="4" w:space="0" w:color="auto"/>
            </w:tcBorders>
            <w:shd w:val="clear" w:color="auto" w:fill="auto"/>
            <w:vAlign w:val="center"/>
          </w:tcPr>
          <w:p w14:paraId="34F63D75" w14:textId="77777777" w:rsidR="003570A7" w:rsidRPr="00EB3861" w:rsidRDefault="003570A7" w:rsidP="003570A7">
            <w:pPr>
              <w:spacing w:after="0"/>
              <w:rPr>
                <w:szCs w:val="22"/>
                <w:lang w:eastAsia="fr-FR"/>
              </w:rPr>
            </w:pPr>
            <w:r w:rsidRPr="00EB3861">
              <w:rPr>
                <w:szCs w:val="22"/>
                <w:lang w:eastAsia="fr-FR"/>
              </w:rPr>
              <w:t>Evaluation</w:t>
            </w:r>
          </w:p>
        </w:tc>
        <w:tc>
          <w:tcPr>
            <w:tcW w:w="542" w:type="dxa"/>
            <w:vMerge/>
            <w:tcBorders>
              <w:right w:val="single" w:sz="4" w:space="0" w:color="auto"/>
            </w:tcBorders>
            <w:shd w:val="clear" w:color="auto" w:fill="CCFFFF"/>
          </w:tcPr>
          <w:p w14:paraId="65A081E6" w14:textId="77777777" w:rsidR="003570A7" w:rsidRPr="00EB3861" w:rsidRDefault="003570A7" w:rsidP="003570A7">
            <w:pPr>
              <w:spacing w:after="0"/>
              <w:jc w:val="center"/>
              <w:rPr>
                <w:szCs w:val="22"/>
                <w:lang w:eastAsia="fr-FR"/>
              </w:rPr>
            </w:pPr>
          </w:p>
        </w:tc>
        <w:tc>
          <w:tcPr>
            <w:tcW w:w="550" w:type="dxa"/>
            <w:vMerge/>
            <w:tcBorders>
              <w:left w:val="single" w:sz="4" w:space="0" w:color="auto"/>
              <w:bottom w:val="dashed" w:sz="4" w:space="0" w:color="auto"/>
            </w:tcBorders>
            <w:shd w:val="clear" w:color="auto" w:fill="auto"/>
          </w:tcPr>
          <w:p w14:paraId="59A450EF" w14:textId="77777777" w:rsidR="003570A7" w:rsidRPr="00EB3861" w:rsidRDefault="003570A7" w:rsidP="003570A7">
            <w:pPr>
              <w:spacing w:after="0"/>
              <w:jc w:val="center"/>
              <w:rPr>
                <w:szCs w:val="22"/>
                <w:lang w:eastAsia="fr-FR"/>
              </w:rPr>
            </w:pPr>
          </w:p>
        </w:tc>
        <w:tc>
          <w:tcPr>
            <w:tcW w:w="567" w:type="dxa"/>
            <w:vMerge/>
            <w:tcBorders>
              <w:left w:val="single" w:sz="4" w:space="0" w:color="auto"/>
            </w:tcBorders>
            <w:shd w:val="clear" w:color="auto" w:fill="auto"/>
          </w:tcPr>
          <w:p w14:paraId="0FC1CEBF" w14:textId="77777777" w:rsidR="003570A7" w:rsidRPr="00EB3861" w:rsidRDefault="003570A7" w:rsidP="003570A7">
            <w:pPr>
              <w:spacing w:after="0"/>
              <w:jc w:val="center"/>
              <w:rPr>
                <w:szCs w:val="22"/>
                <w:lang w:eastAsia="fr-FR"/>
              </w:rPr>
            </w:pPr>
          </w:p>
        </w:tc>
        <w:tc>
          <w:tcPr>
            <w:tcW w:w="2179" w:type="dxa"/>
            <w:tcBorders>
              <w:bottom w:val="single" w:sz="4" w:space="0" w:color="auto"/>
            </w:tcBorders>
            <w:shd w:val="clear" w:color="auto" w:fill="CCFFFF"/>
            <w:vAlign w:val="center"/>
          </w:tcPr>
          <w:p w14:paraId="19253AC6" w14:textId="77777777" w:rsidR="003570A7" w:rsidRPr="006B7A54" w:rsidRDefault="003570A7" w:rsidP="003570A7">
            <w:pPr>
              <w:spacing w:after="0"/>
              <w:jc w:val="center"/>
              <w:rPr>
                <w:sz w:val="20"/>
                <w:szCs w:val="20"/>
                <w:lang w:eastAsia="fr-FR"/>
              </w:rPr>
            </w:pPr>
            <w:r>
              <w:rPr>
                <w:sz w:val="20"/>
                <w:szCs w:val="20"/>
                <w:lang w:eastAsia="fr-FR"/>
              </w:rPr>
              <w:t>Pilotage</w:t>
            </w:r>
          </w:p>
        </w:tc>
        <w:tc>
          <w:tcPr>
            <w:tcW w:w="1625" w:type="dxa"/>
            <w:shd w:val="clear" w:color="auto" w:fill="auto"/>
            <w:vAlign w:val="center"/>
          </w:tcPr>
          <w:p w14:paraId="444C790C" w14:textId="77777777" w:rsidR="003570A7" w:rsidRPr="006B7A54" w:rsidRDefault="003570A7" w:rsidP="003570A7">
            <w:pPr>
              <w:spacing w:after="0"/>
              <w:jc w:val="center"/>
              <w:rPr>
                <w:sz w:val="20"/>
                <w:szCs w:val="20"/>
                <w:lang w:eastAsia="fr-FR"/>
              </w:rPr>
            </w:pPr>
          </w:p>
        </w:tc>
        <w:tc>
          <w:tcPr>
            <w:tcW w:w="1655" w:type="dxa"/>
            <w:shd w:val="clear" w:color="auto" w:fill="auto"/>
            <w:vAlign w:val="center"/>
          </w:tcPr>
          <w:p w14:paraId="44CCA743" w14:textId="77777777" w:rsidR="003570A7" w:rsidRPr="006B7A54" w:rsidRDefault="003570A7" w:rsidP="003570A7">
            <w:pPr>
              <w:spacing w:after="0"/>
              <w:jc w:val="center"/>
              <w:rPr>
                <w:sz w:val="20"/>
                <w:szCs w:val="20"/>
                <w:lang w:eastAsia="fr-FR"/>
              </w:rPr>
            </w:pPr>
            <w:r>
              <w:rPr>
                <w:sz w:val="20"/>
                <w:szCs w:val="20"/>
                <w:lang w:eastAsia="fr-FR"/>
              </w:rPr>
              <w:t>Associé</w:t>
            </w:r>
          </w:p>
        </w:tc>
      </w:tr>
      <w:tr w:rsidR="003570A7" w:rsidRPr="006B7A54" w14:paraId="4E06BD07" w14:textId="77777777" w:rsidTr="00604FD9">
        <w:trPr>
          <w:trHeight w:hRule="exact" w:val="568"/>
        </w:trPr>
        <w:tc>
          <w:tcPr>
            <w:tcW w:w="1993" w:type="dxa"/>
            <w:shd w:val="clear" w:color="auto" w:fill="auto"/>
            <w:vAlign w:val="center"/>
          </w:tcPr>
          <w:p w14:paraId="0D64A751" w14:textId="77777777" w:rsidR="003570A7" w:rsidRPr="00EB3861" w:rsidRDefault="003570A7" w:rsidP="003570A7">
            <w:pPr>
              <w:spacing w:after="0"/>
              <w:rPr>
                <w:szCs w:val="22"/>
                <w:lang w:eastAsia="fr-FR"/>
              </w:rPr>
            </w:pPr>
            <w:r w:rsidRPr="00EB3861">
              <w:rPr>
                <w:szCs w:val="22"/>
                <w:lang w:eastAsia="fr-FR"/>
              </w:rPr>
              <w:t>Maturation</w:t>
            </w:r>
            <w:r>
              <w:rPr>
                <w:szCs w:val="22"/>
                <w:lang w:eastAsia="fr-FR"/>
              </w:rPr>
              <w:t xml:space="preserve"> techno</w:t>
            </w:r>
            <w:r w:rsidRPr="00EB3861">
              <w:rPr>
                <w:szCs w:val="22"/>
                <w:lang w:eastAsia="fr-FR"/>
              </w:rPr>
              <w:t xml:space="preserve"> </w:t>
            </w:r>
          </w:p>
        </w:tc>
        <w:tc>
          <w:tcPr>
            <w:tcW w:w="542" w:type="dxa"/>
            <w:vMerge/>
            <w:tcBorders>
              <w:right w:val="single" w:sz="4" w:space="0" w:color="auto"/>
            </w:tcBorders>
            <w:shd w:val="clear" w:color="auto" w:fill="CCFFFF"/>
          </w:tcPr>
          <w:p w14:paraId="69738C64" w14:textId="77777777" w:rsidR="003570A7" w:rsidRPr="00EB3861" w:rsidRDefault="003570A7" w:rsidP="003570A7">
            <w:pPr>
              <w:spacing w:after="0"/>
              <w:jc w:val="center"/>
              <w:rPr>
                <w:szCs w:val="22"/>
                <w:lang w:eastAsia="fr-FR"/>
              </w:rPr>
            </w:pPr>
          </w:p>
        </w:tc>
        <w:tc>
          <w:tcPr>
            <w:tcW w:w="550" w:type="dxa"/>
            <w:vMerge w:val="restart"/>
            <w:tcBorders>
              <w:top w:val="dashed" w:sz="4" w:space="0" w:color="auto"/>
              <w:left w:val="single" w:sz="4" w:space="0" w:color="auto"/>
              <w:right w:val="single" w:sz="4" w:space="0" w:color="auto"/>
            </w:tcBorders>
            <w:shd w:val="clear" w:color="auto" w:fill="CCFFCC"/>
            <w:textDirection w:val="btLr"/>
          </w:tcPr>
          <w:p w14:paraId="10DDBA7D" w14:textId="77777777" w:rsidR="003570A7" w:rsidRPr="00EB3861" w:rsidRDefault="003570A7" w:rsidP="003570A7">
            <w:pPr>
              <w:ind w:left="113" w:right="113"/>
              <w:jc w:val="center"/>
              <w:rPr>
                <w:szCs w:val="22"/>
                <w:lang w:eastAsia="fr-FR"/>
              </w:rPr>
            </w:pPr>
            <w:r>
              <w:rPr>
                <w:szCs w:val="22"/>
                <w:lang w:eastAsia="fr-FR"/>
              </w:rPr>
              <w:t>Incubation</w:t>
            </w:r>
          </w:p>
        </w:tc>
        <w:tc>
          <w:tcPr>
            <w:tcW w:w="567" w:type="dxa"/>
            <w:vMerge/>
            <w:tcBorders>
              <w:left w:val="single" w:sz="4" w:space="0" w:color="auto"/>
            </w:tcBorders>
            <w:shd w:val="clear" w:color="auto" w:fill="auto"/>
            <w:textDirection w:val="btLr"/>
          </w:tcPr>
          <w:p w14:paraId="2547FEF1" w14:textId="77777777" w:rsidR="003570A7" w:rsidRPr="00EB3861" w:rsidRDefault="003570A7" w:rsidP="003570A7">
            <w:pPr>
              <w:ind w:right="113"/>
              <w:jc w:val="center"/>
              <w:rPr>
                <w:szCs w:val="22"/>
                <w:lang w:eastAsia="fr-FR"/>
              </w:rPr>
            </w:pPr>
          </w:p>
        </w:tc>
        <w:tc>
          <w:tcPr>
            <w:tcW w:w="2179" w:type="dxa"/>
            <w:vMerge w:val="restart"/>
            <w:shd w:val="clear" w:color="auto" w:fill="CCFFFF"/>
            <w:vAlign w:val="center"/>
          </w:tcPr>
          <w:p w14:paraId="560C1980" w14:textId="77777777" w:rsidR="003570A7" w:rsidRDefault="003570A7" w:rsidP="003570A7">
            <w:pPr>
              <w:spacing w:after="0"/>
              <w:jc w:val="center"/>
              <w:rPr>
                <w:sz w:val="20"/>
                <w:szCs w:val="20"/>
                <w:lang w:eastAsia="fr-FR"/>
              </w:rPr>
            </w:pPr>
            <w:r w:rsidRPr="006B7A54">
              <w:rPr>
                <w:sz w:val="20"/>
                <w:szCs w:val="20"/>
                <w:lang w:eastAsia="fr-FR"/>
              </w:rPr>
              <w:t>Comité d’investissement</w:t>
            </w:r>
            <w:r>
              <w:rPr>
                <w:sz w:val="20"/>
                <w:szCs w:val="20"/>
                <w:lang w:eastAsia="fr-FR"/>
              </w:rPr>
              <w:t xml:space="preserve"> maturation - CIM</w:t>
            </w:r>
          </w:p>
          <w:p w14:paraId="293B14F3" w14:textId="77777777" w:rsidR="003570A7" w:rsidRDefault="003570A7" w:rsidP="003570A7">
            <w:pPr>
              <w:spacing w:after="0"/>
              <w:rPr>
                <w:sz w:val="20"/>
                <w:szCs w:val="20"/>
                <w:lang w:eastAsia="fr-FR"/>
              </w:rPr>
            </w:pPr>
          </w:p>
          <w:p w14:paraId="5A9F72C3" w14:textId="77777777" w:rsidR="003570A7" w:rsidRPr="006B7A54" w:rsidRDefault="003570A7" w:rsidP="003570A7">
            <w:pPr>
              <w:spacing w:after="0"/>
              <w:jc w:val="center"/>
              <w:rPr>
                <w:sz w:val="20"/>
                <w:szCs w:val="20"/>
                <w:lang w:eastAsia="fr-FR"/>
              </w:rPr>
            </w:pPr>
            <w:r>
              <w:rPr>
                <w:sz w:val="20"/>
                <w:szCs w:val="20"/>
                <w:lang w:eastAsia="fr-FR"/>
              </w:rPr>
              <w:t xml:space="preserve">Membre comité d’incubation </w:t>
            </w:r>
          </w:p>
        </w:tc>
        <w:tc>
          <w:tcPr>
            <w:tcW w:w="1625" w:type="dxa"/>
            <w:tcBorders>
              <w:bottom w:val="single" w:sz="4" w:space="0" w:color="auto"/>
            </w:tcBorders>
            <w:shd w:val="clear" w:color="auto" w:fill="auto"/>
            <w:vAlign w:val="center"/>
          </w:tcPr>
          <w:p w14:paraId="32027D6E" w14:textId="77777777" w:rsidR="003570A7" w:rsidRPr="006B7A54" w:rsidRDefault="003570A7" w:rsidP="003570A7">
            <w:pPr>
              <w:spacing w:after="0"/>
              <w:jc w:val="center"/>
              <w:rPr>
                <w:sz w:val="20"/>
                <w:szCs w:val="20"/>
                <w:lang w:eastAsia="fr-FR"/>
              </w:rPr>
            </w:pPr>
            <w:r>
              <w:rPr>
                <w:sz w:val="20"/>
                <w:szCs w:val="20"/>
                <w:lang w:eastAsia="fr-FR"/>
              </w:rPr>
              <w:t>Invitation CIM</w:t>
            </w:r>
          </w:p>
        </w:tc>
        <w:tc>
          <w:tcPr>
            <w:tcW w:w="1655" w:type="dxa"/>
            <w:shd w:val="clear" w:color="auto" w:fill="auto"/>
            <w:vAlign w:val="center"/>
          </w:tcPr>
          <w:p w14:paraId="2492AF97" w14:textId="77777777" w:rsidR="003570A7" w:rsidRPr="006B7A54" w:rsidRDefault="003570A7" w:rsidP="003570A7">
            <w:pPr>
              <w:spacing w:after="0"/>
              <w:jc w:val="center"/>
              <w:rPr>
                <w:sz w:val="20"/>
                <w:szCs w:val="20"/>
                <w:lang w:eastAsia="fr-FR"/>
              </w:rPr>
            </w:pPr>
            <w:r>
              <w:rPr>
                <w:sz w:val="20"/>
                <w:szCs w:val="20"/>
                <w:lang w:eastAsia="fr-FR"/>
              </w:rPr>
              <w:t xml:space="preserve">Invitation CIM  </w:t>
            </w:r>
          </w:p>
          <w:p w14:paraId="2A670A66" w14:textId="77777777" w:rsidR="003570A7" w:rsidRPr="006B7A54" w:rsidRDefault="003570A7" w:rsidP="003570A7">
            <w:pPr>
              <w:spacing w:after="0"/>
              <w:jc w:val="center"/>
              <w:rPr>
                <w:sz w:val="20"/>
                <w:szCs w:val="20"/>
                <w:lang w:eastAsia="fr-FR"/>
              </w:rPr>
            </w:pPr>
          </w:p>
        </w:tc>
      </w:tr>
      <w:tr w:rsidR="003570A7" w:rsidRPr="00EB3861" w14:paraId="66F08FAB" w14:textId="77777777" w:rsidTr="00604FD9">
        <w:trPr>
          <w:trHeight w:hRule="exact" w:val="859"/>
        </w:trPr>
        <w:tc>
          <w:tcPr>
            <w:tcW w:w="1993" w:type="dxa"/>
            <w:tcBorders>
              <w:bottom w:val="single" w:sz="4" w:space="0" w:color="auto"/>
            </w:tcBorders>
            <w:shd w:val="clear" w:color="auto" w:fill="auto"/>
            <w:vAlign w:val="center"/>
          </w:tcPr>
          <w:p w14:paraId="738E8471" w14:textId="77777777" w:rsidR="003570A7" w:rsidRPr="00EB3861" w:rsidRDefault="003570A7" w:rsidP="003570A7">
            <w:pPr>
              <w:spacing w:after="0"/>
              <w:rPr>
                <w:szCs w:val="22"/>
                <w:lang w:eastAsia="fr-FR"/>
              </w:rPr>
            </w:pPr>
            <w:r w:rsidRPr="00EB3861">
              <w:rPr>
                <w:szCs w:val="22"/>
                <w:lang w:eastAsia="fr-FR"/>
              </w:rPr>
              <w:t xml:space="preserve">Maturation </w:t>
            </w:r>
            <w:r>
              <w:rPr>
                <w:szCs w:val="22"/>
                <w:lang w:eastAsia="fr-FR"/>
              </w:rPr>
              <w:t>éco</w:t>
            </w:r>
          </w:p>
        </w:tc>
        <w:tc>
          <w:tcPr>
            <w:tcW w:w="542" w:type="dxa"/>
            <w:vMerge/>
            <w:tcBorders>
              <w:bottom w:val="dashed" w:sz="4" w:space="0" w:color="auto"/>
              <w:right w:val="single" w:sz="4" w:space="0" w:color="auto"/>
            </w:tcBorders>
            <w:shd w:val="clear" w:color="auto" w:fill="CCFFFF"/>
          </w:tcPr>
          <w:p w14:paraId="3D7BC728" w14:textId="77777777" w:rsidR="003570A7" w:rsidRPr="00EB3861" w:rsidRDefault="003570A7" w:rsidP="003570A7">
            <w:pPr>
              <w:spacing w:after="0"/>
              <w:jc w:val="center"/>
              <w:rPr>
                <w:szCs w:val="22"/>
                <w:lang w:eastAsia="fr-FR"/>
              </w:rPr>
            </w:pPr>
          </w:p>
        </w:tc>
        <w:tc>
          <w:tcPr>
            <w:tcW w:w="550" w:type="dxa"/>
            <w:vMerge/>
            <w:tcBorders>
              <w:left w:val="single" w:sz="4" w:space="0" w:color="auto"/>
              <w:right w:val="single" w:sz="4" w:space="0" w:color="auto"/>
            </w:tcBorders>
            <w:shd w:val="clear" w:color="auto" w:fill="CCFFCC"/>
            <w:textDirection w:val="btLr"/>
          </w:tcPr>
          <w:p w14:paraId="509416C8" w14:textId="77777777" w:rsidR="003570A7" w:rsidRPr="00EB3861" w:rsidRDefault="003570A7" w:rsidP="003570A7">
            <w:pPr>
              <w:spacing w:after="0"/>
              <w:ind w:left="113" w:right="113"/>
              <w:jc w:val="center"/>
              <w:rPr>
                <w:szCs w:val="22"/>
                <w:lang w:eastAsia="fr-FR"/>
              </w:rPr>
            </w:pPr>
          </w:p>
        </w:tc>
        <w:tc>
          <w:tcPr>
            <w:tcW w:w="567" w:type="dxa"/>
            <w:vMerge/>
            <w:tcBorders>
              <w:left w:val="single" w:sz="4" w:space="0" w:color="auto"/>
            </w:tcBorders>
            <w:shd w:val="clear" w:color="auto" w:fill="auto"/>
            <w:textDirection w:val="btLr"/>
          </w:tcPr>
          <w:p w14:paraId="5C3ADAE9" w14:textId="77777777" w:rsidR="003570A7" w:rsidRPr="00EB3861" w:rsidRDefault="003570A7" w:rsidP="003570A7">
            <w:pPr>
              <w:spacing w:after="0"/>
              <w:ind w:left="113" w:right="113"/>
              <w:jc w:val="center"/>
              <w:rPr>
                <w:szCs w:val="22"/>
                <w:lang w:eastAsia="fr-FR"/>
              </w:rPr>
            </w:pPr>
          </w:p>
        </w:tc>
        <w:tc>
          <w:tcPr>
            <w:tcW w:w="2179" w:type="dxa"/>
            <w:vMerge/>
            <w:tcBorders>
              <w:bottom w:val="single" w:sz="4" w:space="0" w:color="auto"/>
            </w:tcBorders>
            <w:shd w:val="clear" w:color="auto" w:fill="CCFFFF"/>
            <w:vAlign w:val="center"/>
          </w:tcPr>
          <w:p w14:paraId="58ECF7D5" w14:textId="77777777" w:rsidR="003570A7" w:rsidRPr="006B7A54" w:rsidRDefault="003570A7" w:rsidP="003570A7">
            <w:pPr>
              <w:spacing w:after="0"/>
              <w:jc w:val="center"/>
              <w:rPr>
                <w:sz w:val="20"/>
                <w:szCs w:val="20"/>
                <w:lang w:eastAsia="fr-FR"/>
              </w:rPr>
            </w:pPr>
          </w:p>
        </w:tc>
        <w:tc>
          <w:tcPr>
            <w:tcW w:w="1625" w:type="dxa"/>
            <w:shd w:val="clear" w:color="auto" w:fill="CCFFCC"/>
            <w:vAlign w:val="center"/>
          </w:tcPr>
          <w:p w14:paraId="15EC8265" w14:textId="77777777" w:rsidR="003570A7" w:rsidRPr="006B7A54" w:rsidRDefault="003570A7" w:rsidP="003570A7">
            <w:pPr>
              <w:spacing w:after="0"/>
              <w:jc w:val="center"/>
              <w:rPr>
                <w:sz w:val="20"/>
                <w:szCs w:val="20"/>
                <w:lang w:eastAsia="fr-FR"/>
              </w:rPr>
            </w:pPr>
            <w:r>
              <w:rPr>
                <w:sz w:val="20"/>
                <w:szCs w:val="20"/>
                <w:lang w:eastAsia="fr-FR"/>
              </w:rPr>
              <w:t xml:space="preserve">Pilotage </w:t>
            </w:r>
            <w:r w:rsidRPr="006B7A54">
              <w:rPr>
                <w:sz w:val="20"/>
                <w:szCs w:val="20"/>
                <w:lang w:eastAsia="fr-FR"/>
              </w:rPr>
              <w:t xml:space="preserve">Comité d’incubation </w:t>
            </w:r>
          </w:p>
        </w:tc>
        <w:tc>
          <w:tcPr>
            <w:tcW w:w="1655" w:type="dxa"/>
            <w:shd w:val="clear" w:color="auto" w:fill="auto"/>
            <w:vAlign w:val="center"/>
          </w:tcPr>
          <w:p w14:paraId="2D531244" w14:textId="77777777" w:rsidR="003570A7" w:rsidRPr="006B7A54" w:rsidRDefault="003570A7" w:rsidP="003570A7">
            <w:pPr>
              <w:spacing w:after="0"/>
              <w:jc w:val="center"/>
              <w:rPr>
                <w:sz w:val="20"/>
                <w:szCs w:val="20"/>
                <w:lang w:eastAsia="fr-FR"/>
              </w:rPr>
            </w:pPr>
            <w:r>
              <w:rPr>
                <w:sz w:val="20"/>
                <w:szCs w:val="20"/>
                <w:lang w:eastAsia="fr-FR"/>
              </w:rPr>
              <w:t xml:space="preserve">Membre </w:t>
            </w:r>
            <w:r w:rsidRPr="006B7A54">
              <w:rPr>
                <w:sz w:val="20"/>
                <w:szCs w:val="20"/>
                <w:lang w:eastAsia="fr-FR"/>
              </w:rPr>
              <w:t>comité incub</w:t>
            </w:r>
            <w:r>
              <w:rPr>
                <w:sz w:val="20"/>
                <w:szCs w:val="20"/>
                <w:lang w:eastAsia="fr-FR"/>
              </w:rPr>
              <w:t>ation</w:t>
            </w:r>
          </w:p>
        </w:tc>
      </w:tr>
      <w:tr w:rsidR="003570A7" w:rsidRPr="00EB3861" w14:paraId="3220467B" w14:textId="77777777" w:rsidTr="00604FD9">
        <w:trPr>
          <w:trHeight w:val="801"/>
        </w:trPr>
        <w:tc>
          <w:tcPr>
            <w:tcW w:w="1993" w:type="dxa"/>
            <w:tcBorders>
              <w:right w:val="single" w:sz="4" w:space="0" w:color="auto"/>
            </w:tcBorders>
            <w:shd w:val="clear" w:color="auto" w:fill="auto"/>
            <w:vAlign w:val="center"/>
          </w:tcPr>
          <w:p w14:paraId="35C49293" w14:textId="77777777" w:rsidR="003570A7" w:rsidRPr="00EB3861" w:rsidRDefault="003570A7" w:rsidP="003570A7">
            <w:pPr>
              <w:spacing w:after="0"/>
              <w:rPr>
                <w:szCs w:val="22"/>
                <w:lang w:eastAsia="fr-FR"/>
              </w:rPr>
            </w:pPr>
            <w:r>
              <w:rPr>
                <w:szCs w:val="22"/>
                <w:lang w:eastAsia="fr-FR"/>
              </w:rPr>
              <w:t>Evaluation</w:t>
            </w:r>
          </w:p>
        </w:tc>
        <w:tc>
          <w:tcPr>
            <w:tcW w:w="542" w:type="dxa"/>
            <w:vMerge w:val="restart"/>
            <w:tcBorders>
              <w:top w:val="dashed" w:sz="4" w:space="0" w:color="auto"/>
              <w:left w:val="single" w:sz="4" w:space="0" w:color="auto"/>
              <w:bottom w:val="dashed" w:sz="4" w:space="0" w:color="auto"/>
              <w:right w:val="single" w:sz="4" w:space="0" w:color="auto"/>
            </w:tcBorders>
            <w:shd w:val="clear" w:color="auto" w:fill="auto"/>
          </w:tcPr>
          <w:p w14:paraId="5137EA1E" w14:textId="77777777" w:rsidR="003570A7" w:rsidRPr="00EB3861" w:rsidRDefault="003570A7" w:rsidP="003570A7">
            <w:pPr>
              <w:spacing w:after="0"/>
              <w:jc w:val="both"/>
              <w:rPr>
                <w:szCs w:val="22"/>
                <w:lang w:eastAsia="fr-FR"/>
              </w:rPr>
            </w:pPr>
          </w:p>
        </w:tc>
        <w:tc>
          <w:tcPr>
            <w:tcW w:w="550" w:type="dxa"/>
            <w:vMerge/>
            <w:tcBorders>
              <w:left w:val="single" w:sz="4" w:space="0" w:color="auto"/>
            </w:tcBorders>
            <w:shd w:val="clear" w:color="auto" w:fill="CCFFCC"/>
          </w:tcPr>
          <w:p w14:paraId="691D5D22" w14:textId="77777777" w:rsidR="003570A7" w:rsidRPr="00EB3861" w:rsidRDefault="003570A7" w:rsidP="003570A7">
            <w:pPr>
              <w:spacing w:after="0"/>
              <w:jc w:val="both"/>
              <w:rPr>
                <w:szCs w:val="22"/>
                <w:lang w:eastAsia="fr-FR"/>
              </w:rPr>
            </w:pPr>
          </w:p>
        </w:tc>
        <w:tc>
          <w:tcPr>
            <w:tcW w:w="567" w:type="dxa"/>
            <w:vMerge/>
            <w:tcBorders>
              <w:left w:val="single" w:sz="4" w:space="0" w:color="auto"/>
            </w:tcBorders>
            <w:shd w:val="clear" w:color="auto" w:fill="auto"/>
          </w:tcPr>
          <w:p w14:paraId="268AD232" w14:textId="77777777" w:rsidR="003570A7" w:rsidRPr="00EB3861" w:rsidRDefault="003570A7" w:rsidP="003570A7">
            <w:pPr>
              <w:spacing w:after="0"/>
              <w:jc w:val="both"/>
              <w:rPr>
                <w:szCs w:val="22"/>
                <w:lang w:eastAsia="fr-FR"/>
              </w:rPr>
            </w:pPr>
          </w:p>
        </w:tc>
        <w:tc>
          <w:tcPr>
            <w:tcW w:w="2179" w:type="dxa"/>
            <w:shd w:val="clear" w:color="auto" w:fill="auto"/>
            <w:vAlign w:val="center"/>
          </w:tcPr>
          <w:p w14:paraId="36AE90C5" w14:textId="77777777" w:rsidR="003570A7" w:rsidRDefault="003570A7" w:rsidP="003570A7">
            <w:pPr>
              <w:spacing w:after="0"/>
              <w:jc w:val="center"/>
              <w:rPr>
                <w:sz w:val="20"/>
                <w:szCs w:val="20"/>
                <w:lang w:eastAsia="fr-FR"/>
              </w:rPr>
            </w:pPr>
            <w:r>
              <w:rPr>
                <w:sz w:val="20"/>
                <w:szCs w:val="20"/>
                <w:lang w:eastAsia="fr-FR"/>
              </w:rPr>
              <w:t>P</w:t>
            </w:r>
            <w:r w:rsidRPr="006B7A54">
              <w:rPr>
                <w:sz w:val="20"/>
                <w:szCs w:val="20"/>
                <w:lang w:eastAsia="fr-FR"/>
              </w:rPr>
              <w:t>ilotage mat</w:t>
            </w:r>
            <w:r>
              <w:rPr>
                <w:sz w:val="20"/>
                <w:szCs w:val="20"/>
                <w:lang w:eastAsia="fr-FR"/>
              </w:rPr>
              <w:t xml:space="preserve">uration fonds SATT </w:t>
            </w:r>
          </w:p>
          <w:p w14:paraId="61F4AFC7" w14:textId="77777777" w:rsidR="003570A7" w:rsidRDefault="003570A7" w:rsidP="003570A7">
            <w:pPr>
              <w:spacing w:after="0"/>
              <w:jc w:val="center"/>
              <w:rPr>
                <w:sz w:val="20"/>
                <w:szCs w:val="20"/>
                <w:lang w:eastAsia="fr-FR"/>
              </w:rPr>
            </w:pPr>
          </w:p>
          <w:p w14:paraId="030859CF" w14:textId="77777777" w:rsidR="003570A7" w:rsidRPr="006B7A54" w:rsidRDefault="003570A7" w:rsidP="003570A7">
            <w:pPr>
              <w:spacing w:after="0"/>
              <w:jc w:val="center"/>
              <w:rPr>
                <w:sz w:val="20"/>
                <w:szCs w:val="20"/>
                <w:lang w:eastAsia="fr-FR"/>
              </w:rPr>
            </w:pPr>
            <w:proofErr w:type="spellStart"/>
            <w:r>
              <w:rPr>
                <w:sz w:val="20"/>
                <w:szCs w:val="20"/>
                <w:lang w:eastAsia="fr-FR"/>
              </w:rPr>
              <w:t>Invit</w:t>
            </w:r>
            <w:proofErr w:type="spellEnd"/>
            <w:r>
              <w:rPr>
                <w:sz w:val="20"/>
                <w:szCs w:val="20"/>
                <w:lang w:eastAsia="fr-FR"/>
              </w:rPr>
              <w:t xml:space="preserve"> comité d’</w:t>
            </w:r>
            <w:proofErr w:type="spellStart"/>
            <w:r>
              <w:rPr>
                <w:sz w:val="20"/>
                <w:szCs w:val="20"/>
                <w:lang w:eastAsia="fr-FR"/>
              </w:rPr>
              <w:t>incub</w:t>
            </w:r>
            <w:proofErr w:type="spellEnd"/>
            <w:r>
              <w:rPr>
                <w:sz w:val="20"/>
                <w:szCs w:val="20"/>
                <w:lang w:eastAsia="fr-FR"/>
              </w:rPr>
              <w:t>)</w:t>
            </w:r>
          </w:p>
        </w:tc>
        <w:tc>
          <w:tcPr>
            <w:tcW w:w="1625" w:type="dxa"/>
            <w:shd w:val="clear" w:color="auto" w:fill="CCFFCC"/>
            <w:vAlign w:val="center"/>
          </w:tcPr>
          <w:p w14:paraId="726A1EFB" w14:textId="77777777" w:rsidR="003570A7" w:rsidRDefault="003570A7" w:rsidP="003570A7">
            <w:pPr>
              <w:spacing w:after="0"/>
              <w:jc w:val="center"/>
              <w:rPr>
                <w:sz w:val="20"/>
                <w:szCs w:val="20"/>
                <w:lang w:eastAsia="fr-FR"/>
              </w:rPr>
            </w:pPr>
            <w:r w:rsidRPr="006B7A54">
              <w:rPr>
                <w:sz w:val="20"/>
                <w:szCs w:val="20"/>
                <w:lang w:eastAsia="fr-FR"/>
              </w:rPr>
              <w:t xml:space="preserve">Pilotage </w:t>
            </w:r>
            <w:r>
              <w:rPr>
                <w:sz w:val="20"/>
                <w:szCs w:val="20"/>
                <w:lang w:eastAsia="fr-FR"/>
              </w:rPr>
              <w:t>CI</w:t>
            </w:r>
          </w:p>
          <w:p w14:paraId="6C3379A5" w14:textId="77777777" w:rsidR="003570A7" w:rsidRDefault="003570A7" w:rsidP="003570A7">
            <w:pPr>
              <w:spacing w:after="0"/>
              <w:jc w:val="center"/>
              <w:rPr>
                <w:sz w:val="20"/>
                <w:szCs w:val="20"/>
                <w:lang w:eastAsia="fr-FR"/>
              </w:rPr>
            </w:pPr>
          </w:p>
          <w:p w14:paraId="0DCEA675" w14:textId="77777777" w:rsidR="003570A7" w:rsidRPr="006B7A54" w:rsidRDefault="003570A7" w:rsidP="003570A7">
            <w:pPr>
              <w:spacing w:after="0"/>
              <w:jc w:val="center"/>
              <w:rPr>
                <w:sz w:val="20"/>
                <w:szCs w:val="20"/>
                <w:lang w:eastAsia="fr-FR"/>
              </w:rPr>
            </w:pPr>
            <w:proofErr w:type="spellStart"/>
            <w:r>
              <w:rPr>
                <w:sz w:val="20"/>
                <w:szCs w:val="20"/>
                <w:lang w:eastAsia="fr-FR"/>
              </w:rPr>
              <w:t>Invit</w:t>
            </w:r>
            <w:proofErr w:type="spellEnd"/>
            <w:r>
              <w:rPr>
                <w:sz w:val="20"/>
                <w:szCs w:val="20"/>
                <w:lang w:eastAsia="fr-FR"/>
              </w:rPr>
              <w:t>. CIM</w:t>
            </w:r>
          </w:p>
        </w:tc>
        <w:tc>
          <w:tcPr>
            <w:tcW w:w="1655" w:type="dxa"/>
            <w:tcBorders>
              <w:bottom w:val="single" w:sz="4" w:space="0" w:color="auto"/>
            </w:tcBorders>
            <w:shd w:val="clear" w:color="auto" w:fill="auto"/>
            <w:vAlign w:val="center"/>
          </w:tcPr>
          <w:p w14:paraId="4BD47F31" w14:textId="77777777" w:rsidR="003570A7" w:rsidRPr="006B7A54" w:rsidRDefault="003570A7" w:rsidP="003570A7">
            <w:pPr>
              <w:spacing w:after="0"/>
              <w:jc w:val="center"/>
              <w:rPr>
                <w:sz w:val="20"/>
                <w:szCs w:val="20"/>
                <w:lang w:eastAsia="fr-FR"/>
              </w:rPr>
            </w:pPr>
            <w:r>
              <w:rPr>
                <w:sz w:val="20"/>
                <w:szCs w:val="20"/>
                <w:lang w:eastAsia="fr-FR"/>
              </w:rPr>
              <w:t>Participation aux 2 comités</w:t>
            </w:r>
          </w:p>
        </w:tc>
      </w:tr>
      <w:tr w:rsidR="003570A7" w:rsidRPr="00EB3861" w14:paraId="42480A0A" w14:textId="77777777" w:rsidTr="00604FD9">
        <w:trPr>
          <w:trHeight w:hRule="exact" w:val="735"/>
        </w:trPr>
        <w:tc>
          <w:tcPr>
            <w:tcW w:w="1993" w:type="dxa"/>
            <w:tcBorders>
              <w:bottom w:val="single" w:sz="4" w:space="0" w:color="auto"/>
              <w:right w:val="single" w:sz="4" w:space="0" w:color="auto"/>
            </w:tcBorders>
            <w:shd w:val="clear" w:color="auto" w:fill="auto"/>
            <w:vAlign w:val="center"/>
          </w:tcPr>
          <w:p w14:paraId="1B3CA1B2" w14:textId="77777777" w:rsidR="003570A7" w:rsidRPr="00EB3861" w:rsidRDefault="003570A7" w:rsidP="003570A7">
            <w:pPr>
              <w:spacing w:after="0"/>
              <w:rPr>
                <w:szCs w:val="22"/>
                <w:lang w:eastAsia="fr-FR"/>
              </w:rPr>
            </w:pPr>
            <w:r w:rsidRPr="00EB3861">
              <w:rPr>
                <w:szCs w:val="22"/>
                <w:lang w:eastAsia="fr-FR"/>
              </w:rPr>
              <w:t>Création</w:t>
            </w:r>
          </w:p>
        </w:tc>
        <w:tc>
          <w:tcPr>
            <w:tcW w:w="542" w:type="dxa"/>
            <w:vMerge/>
            <w:tcBorders>
              <w:left w:val="single" w:sz="4" w:space="0" w:color="auto"/>
              <w:bottom w:val="single" w:sz="4" w:space="0" w:color="auto"/>
              <w:right w:val="single" w:sz="4" w:space="0" w:color="auto"/>
            </w:tcBorders>
            <w:shd w:val="clear" w:color="auto" w:fill="auto"/>
          </w:tcPr>
          <w:p w14:paraId="0013E84F" w14:textId="77777777" w:rsidR="003570A7" w:rsidRPr="00EB3861" w:rsidRDefault="003570A7" w:rsidP="003570A7">
            <w:pPr>
              <w:spacing w:after="0"/>
              <w:jc w:val="both"/>
              <w:rPr>
                <w:szCs w:val="22"/>
                <w:lang w:eastAsia="fr-FR"/>
              </w:rPr>
            </w:pPr>
          </w:p>
        </w:tc>
        <w:tc>
          <w:tcPr>
            <w:tcW w:w="550" w:type="dxa"/>
            <w:vMerge/>
            <w:tcBorders>
              <w:left w:val="single" w:sz="4" w:space="0" w:color="auto"/>
              <w:bottom w:val="single" w:sz="4" w:space="0" w:color="auto"/>
            </w:tcBorders>
            <w:shd w:val="clear" w:color="auto" w:fill="CCFFCC"/>
          </w:tcPr>
          <w:p w14:paraId="16C3CC7C" w14:textId="77777777" w:rsidR="003570A7" w:rsidRPr="00EB3861" w:rsidRDefault="003570A7" w:rsidP="003570A7">
            <w:pPr>
              <w:spacing w:after="0"/>
              <w:jc w:val="both"/>
              <w:rPr>
                <w:szCs w:val="22"/>
                <w:lang w:eastAsia="fr-FR"/>
              </w:rPr>
            </w:pPr>
          </w:p>
        </w:tc>
        <w:tc>
          <w:tcPr>
            <w:tcW w:w="567" w:type="dxa"/>
            <w:vMerge/>
            <w:tcBorders>
              <w:left w:val="single" w:sz="4" w:space="0" w:color="auto"/>
              <w:bottom w:val="dashed" w:sz="4" w:space="0" w:color="auto"/>
            </w:tcBorders>
            <w:shd w:val="clear" w:color="auto" w:fill="auto"/>
          </w:tcPr>
          <w:p w14:paraId="708863D9" w14:textId="77777777" w:rsidR="003570A7" w:rsidRPr="00EB3861" w:rsidRDefault="003570A7" w:rsidP="003570A7">
            <w:pPr>
              <w:spacing w:after="0"/>
              <w:jc w:val="both"/>
              <w:rPr>
                <w:szCs w:val="22"/>
                <w:lang w:eastAsia="fr-FR"/>
              </w:rPr>
            </w:pPr>
          </w:p>
        </w:tc>
        <w:tc>
          <w:tcPr>
            <w:tcW w:w="2179" w:type="dxa"/>
            <w:tcBorders>
              <w:bottom w:val="single" w:sz="4" w:space="0" w:color="auto"/>
            </w:tcBorders>
            <w:shd w:val="clear" w:color="auto" w:fill="auto"/>
            <w:vAlign w:val="center"/>
          </w:tcPr>
          <w:p w14:paraId="3B6B692C" w14:textId="77777777" w:rsidR="003570A7" w:rsidRDefault="003570A7" w:rsidP="003570A7">
            <w:pPr>
              <w:spacing w:after="0"/>
              <w:jc w:val="center"/>
              <w:rPr>
                <w:sz w:val="20"/>
                <w:szCs w:val="20"/>
                <w:lang w:eastAsia="fr-FR"/>
              </w:rPr>
            </w:pPr>
            <w:r>
              <w:rPr>
                <w:sz w:val="20"/>
                <w:szCs w:val="20"/>
                <w:lang w:eastAsia="fr-FR"/>
              </w:rPr>
              <w:t>Prises de part possibles</w:t>
            </w:r>
          </w:p>
        </w:tc>
        <w:tc>
          <w:tcPr>
            <w:tcW w:w="1625" w:type="dxa"/>
            <w:shd w:val="clear" w:color="auto" w:fill="CCFFCC"/>
            <w:vAlign w:val="center"/>
          </w:tcPr>
          <w:p w14:paraId="22AE8FA2" w14:textId="77777777" w:rsidR="003570A7" w:rsidRDefault="003570A7" w:rsidP="003570A7">
            <w:pPr>
              <w:spacing w:after="0"/>
              <w:jc w:val="center"/>
              <w:rPr>
                <w:sz w:val="20"/>
                <w:szCs w:val="20"/>
                <w:lang w:eastAsia="fr-FR"/>
              </w:rPr>
            </w:pPr>
            <w:r>
              <w:rPr>
                <w:sz w:val="20"/>
                <w:szCs w:val="20"/>
                <w:lang w:eastAsia="fr-FR"/>
              </w:rPr>
              <w:t>Pilotage suivi post création</w:t>
            </w:r>
          </w:p>
        </w:tc>
        <w:tc>
          <w:tcPr>
            <w:tcW w:w="1655" w:type="dxa"/>
            <w:tcBorders>
              <w:bottom w:val="dashed" w:sz="4" w:space="0" w:color="auto"/>
            </w:tcBorders>
            <w:shd w:val="clear" w:color="auto" w:fill="auto"/>
            <w:vAlign w:val="center"/>
          </w:tcPr>
          <w:p w14:paraId="1DC8FABE" w14:textId="77777777" w:rsidR="003570A7" w:rsidRDefault="003570A7" w:rsidP="003570A7">
            <w:pPr>
              <w:spacing w:after="0"/>
              <w:jc w:val="center"/>
              <w:rPr>
                <w:sz w:val="20"/>
                <w:szCs w:val="20"/>
                <w:lang w:eastAsia="fr-FR"/>
              </w:rPr>
            </w:pPr>
            <w:r>
              <w:rPr>
                <w:sz w:val="20"/>
                <w:szCs w:val="20"/>
                <w:lang w:eastAsia="fr-FR"/>
              </w:rPr>
              <w:t>Participation suivi post création</w:t>
            </w:r>
          </w:p>
        </w:tc>
      </w:tr>
      <w:tr w:rsidR="00604FD9" w:rsidRPr="00EB3861" w14:paraId="7E700FC9" w14:textId="77777777" w:rsidTr="00604FD9">
        <w:trPr>
          <w:cantSplit/>
          <w:trHeight w:hRule="exact" w:val="1134"/>
        </w:trPr>
        <w:tc>
          <w:tcPr>
            <w:tcW w:w="1993" w:type="dxa"/>
            <w:tcBorders>
              <w:right w:val="single" w:sz="4" w:space="0" w:color="auto"/>
            </w:tcBorders>
            <w:shd w:val="clear" w:color="auto" w:fill="auto"/>
            <w:vAlign w:val="center"/>
          </w:tcPr>
          <w:p w14:paraId="60B5F241" w14:textId="77777777" w:rsidR="00604FD9" w:rsidRPr="00EB3861" w:rsidRDefault="00604FD9" w:rsidP="003570A7">
            <w:pPr>
              <w:spacing w:after="0"/>
              <w:rPr>
                <w:szCs w:val="22"/>
                <w:lang w:eastAsia="fr-FR"/>
              </w:rPr>
            </w:pPr>
            <w:r>
              <w:rPr>
                <w:szCs w:val="22"/>
                <w:lang w:eastAsia="fr-FR"/>
              </w:rPr>
              <w:t>Levée de fonds</w:t>
            </w:r>
          </w:p>
        </w:tc>
        <w:tc>
          <w:tcPr>
            <w:tcW w:w="542" w:type="dxa"/>
            <w:vMerge/>
            <w:tcBorders>
              <w:left w:val="single" w:sz="4" w:space="0" w:color="auto"/>
              <w:bottom w:val="single" w:sz="4" w:space="0" w:color="auto"/>
              <w:right w:val="single" w:sz="4" w:space="0" w:color="auto"/>
            </w:tcBorders>
            <w:shd w:val="clear" w:color="auto" w:fill="auto"/>
          </w:tcPr>
          <w:p w14:paraId="3F1B9289" w14:textId="77777777" w:rsidR="00604FD9" w:rsidRPr="00EB3861" w:rsidRDefault="00604FD9" w:rsidP="003570A7">
            <w:pPr>
              <w:spacing w:after="0"/>
              <w:jc w:val="both"/>
              <w:rPr>
                <w:szCs w:val="22"/>
                <w:lang w:eastAsia="fr-FR"/>
              </w:rPr>
            </w:pPr>
          </w:p>
        </w:tc>
        <w:tc>
          <w:tcPr>
            <w:tcW w:w="550" w:type="dxa"/>
            <w:vMerge/>
            <w:tcBorders>
              <w:left w:val="single" w:sz="4" w:space="0" w:color="auto"/>
              <w:bottom w:val="dashed" w:sz="4" w:space="0" w:color="auto"/>
            </w:tcBorders>
            <w:shd w:val="clear" w:color="auto" w:fill="CCFFCC"/>
          </w:tcPr>
          <w:p w14:paraId="1FD17354" w14:textId="77777777" w:rsidR="00604FD9" w:rsidRPr="00EB3861" w:rsidRDefault="00604FD9" w:rsidP="003570A7">
            <w:pPr>
              <w:spacing w:after="0"/>
              <w:jc w:val="both"/>
              <w:rPr>
                <w:szCs w:val="22"/>
                <w:lang w:eastAsia="fr-FR"/>
              </w:rPr>
            </w:pPr>
          </w:p>
        </w:tc>
        <w:tc>
          <w:tcPr>
            <w:tcW w:w="567" w:type="dxa"/>
            <w:vMerge w:val="restart"/>
            <w:tcBorders>
              <w:top w:val="dashed" w:sz="4" w:space="0" w:color="auto"/>
              <w:left w:val="single" w:sz="4" w:space="0" w:color="auto"/>
            </w:tcBorders>
            <w:shd w:val="clear" w:color="auto" w:fill="FFE49F"/>
            <w:textDirection w:val="btLr"/>
          </w:tcPr>
          <w:p w14:paraId="41422406" w14:textId="774ADB7A" w:rsidR="00604FD9" w:rsidRPr="00EB3861" w:rsidRDefault="00604FD9" w:rsidP="003570A7">
            <w:pPr>
              <w:ind w:left="113" w:right="113"/>
              <w:jc w:val="center"/>
              <w:rPr>
                <w:szCs w:val="22"/>
                <w:lang w:eastAsia="fr-FR"/>
              </w:rPr>
            </w:pPr>
            <w:r>
              <w:rPr>
                <w:szCs w:val="22"/>
                <w:lang w:eastAsia="fr-FR"/>
              </w:rPr>
              <w:t>Développement</w:t>
            </w:r>
          </w:p>
        </w:tc>
        <w:tc>
          <w:tcPr>
            <w:tcW w:w="2179" w:type="dxa"/>
            <w:shd w:val="clear" w:color="auto" w:fill="auto"/>
            <w:vAlign w:val="center"/>
          </w:tcPr>
          <w:p w14:paraId="216CD119" w14:textId="163A0706" w:rsidR="00604FD9" w:rsidRPr="006B7A54" w:rsidRDefault="00604FD9" w:rsidP="003570A7">
            <w:pPr>
              <w:spacing w:after="0"/>
              <w:jc w:val="center"/>
              <w:rPr>
                <w:sz w:val="20"/>
                <w:szCs w:val="20"/>
                <w:lang w:eastAsia="fr-FR"/>
              </w:rPr>
            </w:pPr>
            <w:r>
              <w:rPr>
                <w:sz w:val="20"/>
                <w:szCs w:val="20"/>
                <w:lang w:eastAsia="fr-FR"/>
              </w:rPr>
              <w:t>Conditions de sortie</w:t>
            </w:r>
          </w:p>
        </w:tc>
        <w:tc>
          <w:tcPr>
            <w:tcW w:w="1625" w:type="dxa"/>
            <w:shd w:val="clear" w:color="auto" w:fill="auto"/>
            <w:vAlign w:val="center"/>
          </w:tcPr>
          <w:p w14:paraId="669E7A88" w14:textId="77777777" w:rsidR="00604FD9" w:rsidRPr="006B7A54" w:rsidRDefault="00604FD9" w:rsidP="003570A7">
            <w:pPr>
              <w:spacing w:after="0"/>
              <w:jc w:val="center"/>
              <w:rPr>
                <w:sz w:val="20"/>
                <w:szCs w:val="20"/>
                <w:lang w:eastAsia="fr-FR"/>
              </w:rPr>
            </w:pPr>
          </w:p>
        </w:tc>
        <w:tc>
          <w:tcPr>
            <w:tcW w:w="1655" w:type="dxa"/>
            <w:tcBorders>
              <w:top w:val="dashed" w:sz="4" w:space="0" w:color="auto"/>
            </w:tcBorders>
            <w:shd w:val="clear" w:color="auto" w:fill="FFE49F"/>
            <w:vAlign w:val="center"/>
          </w:tcPr>
          <w:p w14:paraId="68CF9410" w14:textId="77777777" w:rsidR="00604FD9" w:rsidRPr="006B7A54" w:rsidRDefault="00604FD9" w:rsidP="003570A7">
            <w:pPr>
              <w:spacing w:after="0"/>
              <w:jc w:val="center"/>
              <w:rPr>
                <w:sz w:val="20"/>
                <w:szCs w:val="20"/>
                <w:lang w:eastAsia="fr-FR"/>
              </w:rPr>
            </w:pPr>
            <w:r>
              <w:rPr>
                <w:sz w:val="20"/>
                <w:szCs w:val="20"/>
                <w:lang w:eastAsia="fr-FR"/>
              </w:rPr>
              <w:t>Pilotage technopole</w:t>
            </w:r>
          </w:p>
        </w:tc>
      </w:tr>
      <w:tr w:rsidR="00604FD9" w:rsidRPr="00EB3861" w14:paraId="5E6A63B3" w14:textId="77777777" w:rsidTr="00604FD9">
        <w:trPr>
          <w:cantSplit/>
          <w:trHeight w:hRule="exact" w:val="1134"/>
        </w:trPr>
        <w:tc>
          <w:tcPr>
            <w:tcW w:w="1993" w:type="dxa"/>
            <w:tcBorders>
              <w:bottom w:val="single" w:sz="4" w:space="0" w:color="auto"/>
              <w:right w:val="single" w:sz="4" w:space="0" w:color="auto"/>
            </w:tcBorders>
            <w:shd w:val="clear" w:color="auto" w:fill="auto"/>
            <w:vAlign w:val="center"/>
          </w:tcPr>
          <w:p w14:paraId="2C1A9A64" w14:textId="77777777" w:rsidR="00604FD9" w:rsidRDefault="00604FD9" w:rsidP="003570A7">
            <w:pPr>
              <w:spacing w:after="0"/>
              <w:rPr>
                <w:szCs w:val="22"/>
                <w:lang w:eastAsia="fr-FR"/>
              </w:rPr>
            </w:pPr>
            <w:r>
              <w:rPr>
                <w:szCs w:val="22"/>
                <w:lang w:eastAsia="fr-FR"/>
              </w:rPr>
              <w:t>Développement des marchés</w:t>
            </w:r>
          </w:p>
        </w:tc>
        <w:tc>
          <w:tcPr>
            <w:tcW w:w="542" w:type="dxa"/>
            <w:tcBorders>
              <w:left w:val="single" w:sz="4" w:space="0" w:color="auto"/>
              <w:bottom w:val="single" w:sz="4" w:space="0" w:color="auto"/>
              <w:right w:val="single" w:sz="4" w:space="0" w:color="auto"/>
            </w:tcBorders>
            <w:shd w:val="clear" w:color="auto" w:fill="auto"/>
          </w:tcPr>
          <w:p w14:paraId="13A1B849" w14:textId="77777777" w:rsidR="00604FD9" w:rsidRPr="00EB3861" w:rsidRDefault="00604FD9" w:rsidP="003570A7">
            <w:pPr>
              <w:spacing w:after="0"/>
              <w:jc w:val="both"/>
              <w:rPr>
                <w:szCs w:val="22"/>
                <w:lang w:eastAsia="fr-FR"/>
              </w:rPr>
            </w:pPr>
          </w:p>
        </w:tc>
        <w:tc>
          <w:tcPr>
            <w:tcW w:w="550" w:type="dxa"/>
            <w:tcBorders>
              <w:top w:val="dashed" w:sz="4" w:space="0" w:color="auto"/>
              <w:left w:val="single" w:sz="4" w:space="0" w:color="auto"/>
              <w:bottom w:val="single" w:sz="4" w:space="0" w:color="auto"/>
            </w:tcBorders>
            <w:shd w:val="clear" w:color="auto" w:fill="auto"/>
          </w:tcPr>
          <w:p w14:paraId="3E2786B6" w14:textId="77777777" w:rsidR="00604FD9" w:rsidRPr="00EB3861" w:rsidRDefault="00604FD9" w:rsidP="003570A7">
            <w:pPr>
              <w:spacing w:after="0"/>
              <w:jc w:val="both"/>
              <w:rPr>
                <w:szCs w:val="22"/>
                <w:lang w:eastAsia="fr-FR"/>
              </w:rPr>
            </w:pPr>
          </w:p>
        </w:tc>
        <w:tc>
          <w:tcPr>
            <w:tcW w:w="567" w:type="dxa"/>
            <w:vMerge/>
            <w:tcBorders>
              <w:left w:val="single" w:sz="4" w:space="0" w:color="auto"/>
              <w:bottom w:val="single" w:sz="4" w:space="0" w:color="auto"/>
            </w:tcBorders>
            <w:shd w:val="clear" w:color="auto" w:fill="FFE49F"/>
            <w:textDirection w:val="btLr"/>
          </w:tcPr>
          <w:p w14:paraId="0D67C4D2" w14:textId="77777777" w:rsidR="00604FD9" w:rsidRPr="00EB3861" w:rsidRDefault="00604FD9" w:rsidP="003570A7">
            <w:pPr>
              <w:ind w:left="113" w:right="113"/>
              <w:rPr>
                <w:szCs w:val="22"/>
                <w:lang w:eastAsia="fr-FR"/>
              </w:rPr>
            </w:pPr>
          </w:p>
        </w:tc>
        <w:tc>
          <w:tcPr>
            <w:tcW w:w="2179" w:type="dxa"/>
            <w:tcBorders>
              <w:bottom w:val="single" w:sz="4" w:space="0" w:color="auto"/>
            </w:tcBorders>
            <w:shd w:val="clear" w:color="auto" w:fill="auto"/>
            <w:vAlign w:val="center"/>
          </w:tcPr>
          <w:p w14:paraId="60F65174" w14:textId="77777777" w:rsidR="00604FD9" w:rsidRPr="006B7A54" w:rsidRDefault="00604FD9" w:rsidP="003570A7">
            <w:pPr>
              <w:spacing w:after="0"/>
              <w:jc w:val="center"/>
              <w:rPr>
                <w:sz w:val="20"/>
                <w:szCs w:val="20"/>
                <w:lang w:eastAsia="fr-FR"/>
              </w:rPr>
            </w:pPr>
          </w:p>
        </w:tc>
        <w:tc>
          <w:tcPr>
            <w:tcW w:w="1625" w:type="dxa"/>
            <w:shd w:val="clear" w:color="auto" w:fill="auto"/>
            <w:vAlign w:val="center"/>
          </w:tcPr>
          <w:p w14:paraId="649FAC93" w14:textId="77777777" w:rsidR="00604FD9" w:rsidRPr="006B7A54" w:rsidRDefault="00604FD9" w:rsidP="003570A7">
            <w:pPr>
              <w:spacing w:after="0"/>
              <w:jc w:val="center"/>
              <w:rPr>
                <w:sz w:val="20"/>
                <w:szCs w:val="20"/>
                <w:lang w:eastAsia="fr-FR"/>
              </w:rPr>
            </w:pPr>
          </w:p>
        </w:tc>
        <w:tc>
          <w:tcPr>
            <w:tcW w:w="1655" w:type="dxa"/>
            <w:shd w:val="clear" w:color="auto" w:fill="FFE49F"/>
            <w:vAlign w:val="center"/>
          </w:tcPr>
          <w:p w14:paraId="5CAC70A5" w14:textId="77777777" w:rsidR="00604FD9" w:rsidRDefault="00604FD9" w:rsidP="003570A7">
            <w:pPr>
              <w:spacing w:after="0"/>
              <w:jc w:val="center"/>
              <w:rPr>
                <w:sz w:val="20"/>
                <w:szCs w:val="20"/>
                <w:lang w:eastAsia="fr-FR"/>
              </w:rPr>
            </w:pPr>
            <w:r>
              <w:rPr>
                <w:sz w:val="20"/>
                <w:szCs w:val="20"/>
                <w:lang w:eastAsia="fr-FR"/>
              </w:rPr>
              <w:t>Pilotage technopole</w:t>
            </w:r>
          </w:p>
        </w:tc>
      </w:tr>
    </w:tbl>
    <w:p w14:paraId="327FAA3D" w14:textId="77777777" w:rsidR="003570A7" w:rsidRPr="00F84460" w:rsidRDefault="003570A7" w:rsidP="003570A7">
      <w:pPr>
        <w:spacing w:after="0"/>
        <w:jc w:val="both"/>
        <w:rPr>
          <w:szCs w:val="22"/>
          <w:lang w:eastAsia="fr-FR"/>
        </w:rPr>
      </w:pPr>
    </w:p>
    <w:p w14:paraId="66B2A253" w14:textId="77777777" w:rsidR="003570A7" w:rsidRDefault="003570A7" w:rsidP="00681EDC">
      <w:pPr>
        <w:tabs>
          <w:tab w:val="left" w:pos="3700"/>
        </w:tabs>
        <w:spacing w:after="0"/>
        <w:jc w:val="both"/>
        <w:rPr>
          <w:b/>
          <w:szCs w:val="22"/>
          <w:lang w:eastAsia="fr-FR"/>
        </w:rPr>
      </w:pPr>
    </w:p>
    <w:p w14:paraId="6E0A44E2" w14:textId="77777777" w:rsidR="003570A7" w:rsidRDefault="003570A7" w:rsidP="00681EDC">
      <w:pPr>
        <w:tabs>
          <w:tab w:val="left" w:pos="3700"/>
        </w:tabs>
        <w:spacing w:after="0"/>
        <w:jc w:val="both"/>
        <w:rPr>
          <w:b/>
          <w:szCs w:val="22"/>
          <w:lang w:eastAsia="fr-FR"/>
        </w:rPr>
      </w:pPr>
    </w:p>
    <w:p w14:paraId="1B01802C" w14:textId="5AEC6495" w:rsidR="00681EDC" w:rsidRPr="00F84460" w:rsidRDefault="00681EDC" w:rsidP="00681EDC">
      <w:pPr>
        <w:tabs>
          <w:tab w:val="left" w:pos="3700"/>
        </w:tabs>
        <w:spacing w:after="0"/>
        <w:jc w:val="both"/>
        <w:rPr>
          <w:szCs w:val="22"/>
          <w:lang w:eastAsia="fr-FR"/>
        </w:rPr>
      </w:pPr>
      <w:r w:rsidRPr="00F84460">
        <w:rPr>
          <w:b/>
          <w:szCs w:val="22"/>
          <w:lang w:eastAsia="fr-FR"/>
        </w:rPr>
        <w:t>Chaque structure pilote, en amont, la partie dont elle a la responsabilité des engagements financiers ou qui aura un fort impact sur ceux-ci.</w:t>
      </w:r>
      <w:r w:rsidRPr="00F84460">
        <w:rPr>
          <w:szCs w:val="22"/>
          <w:lang w:eastAsia="fr-FR"/>
        </w:rPr>
        <w:t xml:space="preserve"> Le scénario proposé par </w:t>
      </w:r>
      <w:proofErr w:type="spellStart"/>
      <w:r w:rsidRPr="00F84460">
        <w:rPr>
          <w:szCs w:val="22"/>
          <w:lang w:eastAsia="fr-FR"/>
        </w:rPr>
        <w:t>Atlanpôle</w:t>
      </w:r>
      <w:proofErr w:type="spellEnd"/>
      <w:r w:rsidRPr="00F84460">
        <w:rPr>
          <w:szCs w:val="22"/>
          <w:lang w:eastAsia="fr-FR"/>
        </w:rPr>
        <w:t xml:space="preserve"> est clairement bloquant de ce point de vue</w:t>
      </w:r>
      <w:r>
        <w:rPr>
          <w:szCs w:val="22"/>
          <w:lang w:eastAsia="fr-FR"/>
        </w:rPr>
        <w:t xml:space="preserve"> et contraire à ce que demande le CGI</w:t>
      </w:r>
      <w:r w:rsidRPr="00F84460">
        <w:rPr>
          <w:szCs w:val="22"/>
          <w:lang w:eastAsia="fr-FR"/>
        </w:rPr>
        <w:t xml:space="preserve">. Une absence d’accord reviendrait à pénaliser la voie de sortie pour la création d’entreprise. Ceci n’est pas une option </w:t>
      </w:r>
      <w:r w:rsidR="005A00D6">
        <w:rPr>
          <w:szCs w:val="22"/>
          <w:lang w:eastAsia="fr-FR"/>
        </w:rPr>
        <w:t>acceptable</w:t>
      </w:r>
      <w:r w:rsidRPr="00F84460">
        <w:rPr>
          <w:szCs w:val="22"/>
          <w:lang w:eastAsia="fr-FR"/>
        </w:rPr>
        <w:t xml:space="preserve"> </w:t>
      </w:r>
      <w:r>
        <w:rPr>
          <w:szCs w:val="22"/>
          <w:lang w:eastAsia="fr-FR"/>
        </w:rPr>
        <w:t>car pénalisante pour le dossier</w:t>
      </w:r>
      <w:r w:rsidR="00550694">
        <w:rPr>
          <w:szCs w:val="22"/>
          <w:lang w:eastAsia="fr-FR"/>
        </w:rPr>
        <w:t xml:space="preserve"> et pour le développement régional</w:t>
      </w:r>
      <w:r w:rsidRPr="00F84460">
        <w:rPr>
          <w:szCs w:val="22"/>
          <w:lang w:eastAsia="fr-FR"/>
        </w:rPr>
        <w:t>.</w:t>
      </w:r>
      <w:r w:rsidR="00550694">
        <w:rPr>
          <w:szCs w:val="22"/>
          <w:lang w:eastAsia="fr-FR"/>
        </w:rPr>
        <w:t xml:space="preserve"> </w:t>
      </w:r>
    </w:p>
    <w:p w14:paraId="239EEB62" w14:textId="77777777" w:rsidR="00681EDC" w:rsidRPr="00A43B18" w:rsidRDefault="00681EDC" w:rsidP="00681EDC">
      <w:pPr>
        <w:suppressAutoHyphens/>
        <w:spacing w:after="0"/>
        <w:jc w:val="both"/>
      </w:pPr>
    </w:p>
    <w:p w14:paraId="0B3B2E91" w14:textId="77777777" w:rsidR="005A00D6" w:rsidRDefault="00681EDC" w:rsidP="00681EDC">
      <w:pPr>
        <w:suppressAutoHyphens/>
        <w:spacing w:after="0"/>
        <w:jc w:val="both"/>
      </w:pPr>
      <w:r>
        <w:t>Les autres cas, évoqués qui ne relèvent pas de la création d’entreprise n’ont pas à faire l’objet de</w:t>
      </w:r>
      <w:r w:rsidR="005A00D6">
        <w:t xml:space="preserve"> discussions approfondies ici, a</w:t>
      </w:r>
      <w:r>
        <w:t xml:space="preserve">u risque de poser d’autres problèmes de positionnement de la SATT vis-à-vis de partenaires non présents. En particulier, </w:t>
      </w:r>
      <w:r w:rsidR="005A00D6">
        <w:t>pour ce qui relève d</w:t>
      </w:r>
      <w:r>
        <w:t xml:space="preserve">es projets </w:t>
      </w:r>
      <w:r w:rsidRPr="00E450EF">
        <w:rPr>
          <w:b/>
        </w:rPr>
        <w:t>collectifs d’innovation</w:t>
      </w:r>
      <w:r>
        <w:t xml:space="preserve">. Ce sont généralement des missions qui sont confiées aux pôles de compétitivité. L’animation et la coordination de ces activités leur incombent. La SATT conventionnera avec les instances dument mandatées. Une clarification pourrait être faite sur les équipes qui accompagnent les porteurs de projets. </w:t>
      </w:r>
    </w:p>
    <w:p w14:paraId="6641CA41" w14:textId="77777777" w:rsidR="005A00D6" w:rsidRDefault="005A00D6" w:rsidP="00681EDC">
      <w:pPr>
        <w:suppressAutoHyphens/>
        <w:spacing w:after="0"/>
        <w:jc w:val="both"/>
      </w:pPr>
    </w:p>
    <w:p w14:paraId="22B8C873" w14:textId="6E34DADF" w:rsidR="00681EDC" w:rsidRDefault="00681EDC" w:rsidP="00681EDC">
      <w:pPr>
        <w:suppressAutoHyphens/>
        <w:spacing w:after="0"/>
        <w:jc w:val="both"/>
      </w:pPr>
      <w:r>
        <w:t xml:space="preserve">La SATT du fait de son mandat confié par les établissements sera, par principe sauf accord spécifique, en charge de l’ingénierie du montage de projet pour le compte du laboratoire impliqué dans ces projets. Elle souhaite apporter des projets plus mûrs, mieux construits, plus ambitieux et qui </w:t>
      </w:r>
      <w:r w:rsidR="005A00D6">
        <w:t>associent</w:t>
      </w:r>
      <w:r>
        <w:t xml:space="preserve"> nos seulement des chercheurs, mais aussi de la PI au programme de recherche. C’est là une </w:t>
      </w:r>
      <w:r w:rsidRPr="00267466">
        <w:rPr>
          <w:b/>
        </w:rPr>
        <w:t>ambition que nous avons discutée avec les pôles</w:t>
      </w:r>
      <w:r>
        <w:t xml:space="preserve"> et qui leur convient. Sans parler de notre souhait, identique à celui que nous proposons</w:t>
      </w:r>
      <w:r w:rsidR="005A00D6">
        <w:t xml:space="preserve"> ici</w:t>
      </w:r>
      <w:r>
        <w:t xml:space="preserve">, de collaborer activement dans une démarche participative et constructive. </w:t>
      </w:r>
    </w:p>
    <w:p w14:paraId="25EE9FF2" w14:textId="77777777" w:rsidR="00681EDC" w:rsidRDefault="00681EDC" w:rsidP="00681EDC">
      <w:pPr>
        <w:suppressAutoHyphens/>
        <w:spacing w:after="0"/>
        <w:jc w:val="both"/>
      </w:pPr>
    </w:p>
    <w:p w14:paraId="4E7ADB48" w14:textId="77777777" w:rsidR="00681EDC" w:rsidRDefault="00681EDC" w:rsidP="00681EDC">
      <w:pPr>
        <w:suppressAutoHyphens/>
        <w:spacing w:after="0"/>
        <w:jc w:val="both"/>
      </w:pPr>
      <w:r>
        <w:t>Pour ce qui relève des actions d’animation des territoires et/ou de filières, nous n’avons aucun problème à considérer que celles ci peuvent être confiées à des incubateurs et technopoles. Nous y contribuerons avec enthousiasme et aideront à renforcer le développement de nos régions en pleine collaboration dans quelque contexte que ce soit.</w:t>
      </w:r>
    </w:p>
    <w:p w14:paraId="5A3B473A" w14:textId="77777777" w:rsidR="00681EDC" w:rsidRDefault="00681EDC" w:rsidP="00681EDC">
      <w:pPr>
        <w:suppressAutoHyphens/>
        <w:spacing w:after="0"/>
        <w:jc w:val="both"/>
      </w:pPr>
      <w:bookmarkStart w:id="0" w:name="_GoBack"/>
      <w:bookmarkEnd w:id="0"/>
    </w:p>
    <w:p w14:paraId="2F284F64" w14:textId="77777777" w:rsidR="00681EDC" w:rsidRDefault="00681EDC" w:rsidP="00681EDC">
      <w:pPr>
        <w:suppressAutoHyphens/>
        <w:spacing w:after="0"/>
        <w:jc w:val="both"/>
      </w:pPr>
    </w:p>
    <w:p w14:paraId="387A8892" w14:textId="77777777" w:rsidR="00681EDC" w:rsidRPr="00026185" w:rsidRDefault="00681EDC" w:rsidP="00681EDC">
      <w:pPr>
        <w:suppressAutoHyphens/>
        <w:spacing w:after="0"/>
        <w:jc w:val="both"/>
      </w:pPr>
      <w:r>
        <w:t xml:space="preserve"> </w:t>
      </w:r>
    </w:p>
    <w:sectPr w:rsidR="00681EDC" w:rsidRPr="00026185" w:rsidSect="00604FD9">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antGarde">
    <w:altName w:val="Century Gothic"/>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6"/>
    <w:multiLevelType w:val="singleLevel"/>
    <w:tmpl w:val="00000006"/>
    <w:name w:val="WW8Num6"/>
    <w:lvl w:ilvl="0">
      <w:start w:val="2"/>
      <w:numFmt w:val="bullet"/>
      <w:lvlText w:val="-"/>
      <w:lvlJc w:val="left"/>
      <w:pPr>
        <w:tabs>
          <w:tab w:val="num" w:pos="720"/>
        </w:tabs>
        <w:ind w:left="720" w:hanging="360"/>
      </w:pPr>
      <w:rPr>
        <w:rFonts w:ascii="AvantGarde" w:hAnsi="AvantGarde" w:cs="Times New Roman"/>
      </w:rPr>
    </w:lvl>
  </w:abstractNum>
  <w:abstractNum w:abstractNumId="2">
    <w:nsid w:val="30DD3F60"/>
    <w:multiLevelType w:val="hybridMultilevel"/>
    <w:tmpl w:val="051EA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SortMethod w:val="0000"/>
  <w:defaultTabStop w:val="708"/>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5F3"/>
    <w:rsid w:val="000D1C4C"/>
    <w:rsid w:val="003365F3"/>
    <w:rsid w:val="003570A7"/>
    <w:rsid w:val="00550694"/>
    <w:rsid w:val="005A00D6"/>
    <w:rsid w:val="005B1697"/>
    <w:rsid w:val="00604FD9"/>
    <w:rsid w:val="00681EDC"/>
    <w:rsid w:val="006D271B"/>
    <w:rsid w:val="0086351C"/>
    <w:rsid w:val="008B371D"/>
    <w:rsid w:val="00963C86"/>
    <w:rsid w:val="00A15968"/>
    <w:rsid w:val="00B6243F"/>
    <w:rsid w:val="00C558C0"/>
    <w:rsid w:val="00D8542F"/>
    <w:rsid w:val="00E551E7"/>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colormru v:ext="edit" colors="#408000"/>
    </o:shapedefaults>
    <o:shapelayout v:ext="edit">
      <o:idmap v:ext="edit" data="1"/>
    </o:shapelayout>
  </w:shapeDefaults>
  <w:decimalSymbol w:val=","/>
  <w:listSeparator w:val=";"/>
  <w14:docId w14:val="23C9FF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473"/>
    <w:pPr>
      <w:spacing w:after="200"/>
    </w:pPr>
    <w:rPr>
      <w:sz w:val="24"/>
      <w:szCs w:val="24"/>
      <w:lang w:eastAsia="en-US"/>
    </w:rPr>
  </w:style>
  <w:style w:type="paragraph" w:styleId="Titre3">
    <w:name w:val="heading 3"/>
    <w:basedOn w:val="Normal"/>
    <w:next w:val="Normal"/>
    <w:link w:val="Titre3Car"/>
    <w:qFormat/>
    <w:rsid w:val="0052603E"/>
    <w:pPr>
      <w:keepNext/>
      <w:numPr>
        <w:ilvl w:val="2"/>
        <w:numId w:val="1"/>
      </w:numPr>
      <w:suppressAutoHyphens/>
      <w:spacing w:after="0"/>
      <w:jc w:val="both"/>
      <w:outlineLvl w:val="2"/>
    </w:pPr>
    <w:rPr>
      <w:rFonts w:ascii="AvantGarde" w:eastAsia="Times New Roman" w:hAnsi="AvantGarde"/>
      <w:b/>
      <w:i/>
      <w:sz w:val="22"/>
      <w:szCs w:val="20"/>
      <w:lang w:val="x-none"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sid w:val="0052603E"/>
    <w:rPr>
      <w:rFonts w:ascii="AvantGarde" w:eastAsia="Times New Roman" w:hAnsi="AvantGarde"/>
      <w:b/>
      <w:i/>
      <w:sz w:val="22"/>
      <w:lang w:eastAsia="ar-SA"/>
    </w:rPr>
  </w:style>
  <w:style w:type="table" w:styleId="Grille">
    <w:name w:val="Table Grid"/>
    <w:basedOn w:val="TableauNormal"/>
    <w:uiPriority w:val="59"/>
    <w:rsid w:val="00EB3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D1776"/>
    <w:pPr>
      <w:spacing w:after="0"/>
    </w:pPr>
    <w:rPr>
      <w:rFonts w:ascii="Lucida Grande" w:hAnsi="Lucida Grande"/>
      <w:sz w:val="18"/>
      <w:szCs w:val="18"/>
      <w:lang w:val="x-none"/>
    </w:rPr>
  </w:style>
  <w:style w:type="character" w:customStyle="1" w:styleId="TextedebullesCar">
    <w:name w:val="Texte de bulles Car"/>
    <w:link w:val="Textedebulles"/>
    <w:uiPriority w:val="99"/>
    <w:semiHidden/>
    <w:rsid w:val="00DD1776"/>
    <w:rPr>
      <w:rFonts w:ascii="Lucida Grande" w:hAnsi="Lucida Grande" w:cs="Lucida Grande"/>
      <w:sz w:val="18"/>
      <w:szCs w:val="18"/>
      <w:lang w:eastAsia="en-US"/>
    </w:rPr>
  </w:style>
  <w:style w:type="character" w:styleId="Marquedannotation">
    <w:name w:val="annotation reference"/>
    <w:basedOn w:val="Policepardfaut"/>
    <w:uiPriority w:val="99"/>
    <w:semiHidden/>
    <w:unhideWhenUsed/>
    <w:rsid w:val="00CF5AB5"/>
    <w:rPr>
      <w:sz w:val="18"/>
      <w:szCs w:val="18"/>
    </w:rPr>
  </w:style>
  <w:style w:type="paragraph" w:styleId="Commentaire">
    <w:name w:val="annotation text"/>
    <w:basedOn w:val="Normal"/>
    <w:link w:val="CommentaireCar"/>
    <w:uiPriority w:val="99"/>
    <w:semiHidden/>
    <w:unhideWhenUsed/>
    <w:rsid w:val="00CF5AB5"/>
  </w:style>
  <w:style w:type="character" w:customStyle="1" w:styleId="CommentaireCar">
    <w:name w:val="Commentaire Car"/>
    <w:basedOn w:val="Policepardfaut"/>
    <w:link w:val="Commentaire"/>
    <w:uiPriority w:val="99"/>
    <w:semiHidden/>
    <w:rsid w:val="00CF5AB5"/>
    <w:rPr>
      <w:sz w:val="24"/>
      <w:szCs w:val="24"/>
      <w:lang w:eastAsia="en-US"/>
    </w:rPr>
  </w:style>
  <w:style w:type="paragraph" w:styleId="Objetducommentaire">
    <w:name w:val="annotation subject"/>
    <w:basedOn w:val="Commentaire"/>
    <w:next w:val="Commentaire"/>
    <w:link w:val="ObjetducommentaireCar"/>
    <w:uiPriority w:val="99"/>
    <w:semiHidden/>
    <w:unhideWhenUsed/>
    <w:rsid w:val="00CF5AB5"/>
    <w:rPr>
      <w:b/>
      <w:bCs/>
      <w:sz w:val="20"/>
      <w:szCs w:val="20"/>
    </w:rPr>
  </w:style>
  <w:style w:type="character" w:customStyle="1" w:styleId="ObjetducommentaireCar">
    <w:name w:val="Objet du commentaire Car"/>
    <w:basedOn w:val="CommentaireCar"/>
    <w:link w:val="Objetducommentaire"/>
    <w:uiPriority w:val="99"/>
    <w:semiHidden/>
    <w:rsid w:val="00CF5AB5"/>
    <w:rPr>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473"/>
    <w:pPr>
      <w:spacing w:after="200"/>
    </w:pPr>
    <w:rPr>
      <w:sz w:val="24"/>
      <w:szCs w:val="24"/>
      <w:lang w:eastAsia="en-US"/>
    </w:rPr>
  </w:style>
  <w:style w:type="paragraph" w:styleId="Titre3">
    <w:name w:val="heading 3"/>
    <w:basedOn w:val="Normal"/>
    <w:next w:val="Normal"/>
    <w:link w:val="Titre3Car"/>
    <w:qFormat/>
    <w:rsid w:val="0052603E"/>
    <w:pPr>
      <w:keepNext/>
      <w:numPr>
        <w:ilvl w:val="2"/>
        <w:numId w:val="1"/>
      </w:numPr>
      <w:suppressAutoHyphens/>
      <w:spacing w:after="0"/>
      <w:jc w:val="both"/>
      <w:outlineLvl w:val="2"/>
    </w:pPr>
    <w:rPr>
      <w:rFonts w:ascii="AvantGarde" w:eastAsia="Times New Roman" w:hAnsi="AvantGarde"/>
      <w:b/>
      <w:i/>
      <w:sz w:val="22"/>
      <w:szCs w:val="20"/>
      <w:lang w:val="x-none"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sid w:val="0052603E"/>
    <w:rPr>
      <w:rFonts w:ascii="AvantGarde" w:eastAsia="Times New Roman" w:hAnsi="AvantGarde"/>
      <w:b/>
      <w:i/>
      <w:sz w:val="22"/>
      <w:lang w:eastAsia="ar-SA"/>
    </w:rPr>
  </w:style>
  <w:style w:type="table" w:styleId="Grille">
    <w:name w:val="Table Grid"/>
    <w:basedOn w:val="TableauNormal"/>
    <w:uiPriority w:val="59"/>
    <w:rsid w:val="00EB3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D1776"/>
    <w:pPr>
      <w:spacing w:after="0"/>
    </w:pPr>
    <w:rPr>
      <w:rFonts w:ascii="Lucida Grande" w:hAnsi="Lucida Grande"/>
      <w:sz w:val="18"/>
      <w:szCs w:val="18"/>
      <w:lang w:val="x-none"/>
    </w:rPr>
  </w:style>
  <w:style w:type="character" w:customStyle="1" w:styleId="TextedebullesCar">
    <w:name w:val="Texte de bulles Car"/>
    <w:link w:val="Textedebulles"/>
    <w:uiPriority w:val="99"/>
    <w:semiHidden/>
    <w:rsid w:val="00DD1776"/>
    <w:rPr>
      <w:rFonts w:ascii="Lucida Grande" w:hAnsi="Lucida Grande" w:cs="Lucida Grande"/>
      <w:sz w:val="18"/>
      <w:szCs w:val="18"/>
      <w:lang w:eastAsia="en-US"/>
    </w:rPr>
  </w:style>
  <w:style w:type="character" w:styleId="Marquedannotation">
    <w:name w:val="annotation reference"/>
    <w:basedOn w:val="Policepardfaut"/>
    <w:uiPriority w:val="99"/>
    <w:semiHidden/>
    <w:unhideWhenUsed/>
    <w:rsid w:val="00CF5AB5"/>
    <w:rPr>
      <w:sz w:val="18"/>
      <w:szCs w:val="18"/>
    </w:rPr>
  </w:style>
  <w:style w:type="paragraph" w:styleId="Commentaire">
    <w:name w:val="annotation text"/>
    <w:basedOn w:val="Normal"/>
    <w:link w:val="CommentaireCar"/>
    <w:uiPriority w:val="99"/>
    <w:semiHidden/>
    <w:unhideWhenUsed/>
    <w:rsid w:val="00CF5AB5"/>
  </w:style>
  <w:style w:type="character" w:customStyle="1" w:styleId="CommentaireCar">
    <w:name w:val="Commentaire Car"/>
    <w:basedOn w:val="Policepardfaut"/>
    <w:link w:val="Commentaire"/>
    <w:uiPriority w:val="99"/>
    <w:semiHidden/>
    <w:rsid w:val="00CF5AB5"/>
    <w:rPr>
      <w:sz w:val="24"/>
      <w:szCs w:val="24"/>
      <w:lang w:eastAsia="en-US"/>
    </w:rPr>
  </w:style>
  <w:style w:type="paragraph" w:styleId="Objetducommentaire">
    <w:name w:val="annotation subject"/>
    <w:basedOn w:val="Commentaire"/>
    <w:next w:val="Commentaire"/>
    <w:link w:val="ObjetducommentaireCar"/>
    <w:uiPriority w:val="99"/>
    <w:semiHidden/>
    <w:unhideWhenUsed/>
    <w:rsid w:val="00CF5AB5"/>
    <w:rPr>
      <w:b/>
      <w:bCs/>
      <w:sz w:val="20"/>
      <w:szCs w:val="20"/>
    </w:rPr>
  </w:style>
  <w:style w:type="character" w:customStyle="1" w:styleId="ObjetducommentaireCar">
    <w:name w:val="Objet du commentaire Car"/>
    <w:basedOn w:val="CommentaireCar"/>
    <w:link w:val="Objetducommentaire"/>
    <w:uiPriority w:val="99"/>
    <w:semiHidden/>
    <w:rsid w:val="00CF5AB5"/>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5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1482</Words>
  <Characters>8156</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UBO</Company>
  <LinksUpToDate>false</LinksUpToDate>
  <CharactersWithSpaces>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Francoise Moisand</dc:creator>
  <cp:keywords/>
  <dc:description/>
  <cp:lastModifiedBy>Vincent Lamande</cp:lastModifiedBy>
  <cp:revision>4</cp:revision>
  <cp:lastPrinted>2010-12-11T14:10:00Z</cp:lastPrinted>
  <dcterms:created xsi:type="dcterms:W3CDTF">2010-12-12T12:30:00Z</dcterms:created>
  <dcterms:modified xsi:type="dcterms:W3CDTF">2010-12-12T12:43:00Z</dcterms:modified>
</cp:coreProperties>
</file>