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6405" w:rsidRDefault="000760FD" w:rsidP="00BC7EDA">
      <w:pPr>
        <w:jc w:val="both"/>
      </w:pPr>
    </w:p>
    <w:p w:rsidR="00BC7EDA" w:rsidRPr="00D5698A" w:rsidRDefault="00BC7EDA" w:rsidP="00BC7EDA">
      <w:pPr>
        <w:jc w:val="both"/>
        <w:rPr>
          <w:b/>
        </w:rPr>
      </w:pPr>
    </w:p>
    <w:p w:rsidR="00BC7EDA" w:rsidRDefault="00BC7EDA" w:rsidP="00BC7EDA">
      <w:pPr>
        <w:rPr>
          <w:b/>
        </w:rPr>
      </w:pPr>
      <w:r w:rsidRPr="00D5698A">
        <w:rPr>
          <w:b/>
        </w:rPr>
        <w:t>INTERESSEMENT</w:t>
      </w:r>
    </w:p>
    <w:p w:rsidR="00BC7EDA" w:rsidRDefault="00BC7EDA" w:rsidP="00BC7EDA">
      <w:r>
        <w:rPr>
          <w:b/>
        </w:rPr>
        <w:t>JY Mérindol, 10 octobre 2010</w:t>
      </w:r>
      <w:r>
        <w:br/>
      </w:r>
    </w:p>
    <w:p w:rsidR="00BC7EDA" w:rsidRDefault="00BC7EDA" w:rsidP="00BC7EDA">
      <w:pPr>
        <w:jc w:val="both"/>
        <w:rPr>
          <w:rFonts w:cs="Arial"/>
          <w:lang w:eastAsia="fr-FR"/>
        </w:rPr>
      </w:pPr>
      <w:r>
        <w:t xml:space="preserve">Le décret </w:t>
      </w:r>
      <w:r w:rsidRPr="006533F1">
        <w:rPr>
          <w:rFonts w:cs="Arial"/>
          <w:bCs/>
          <w:lang w:eastAsia="fr-FR"/>
        </w:rPr>
        <w:t>n° 2010-619 du 7 juin 2010</w:t>
      </w:r>
      <w:r>
        <w:rPr>
          <w:rFonts w:cs="Arial"/>
          <w:bCs/>
          <w:lang w:eastAsia="fr-FR"/>
        </w:rPr>
        <w:t xml:space="preserve"> a modifié les conditions, jusque là appuyées sur un décret de 1985, dans lesquelles divers établissements publics, dont les EPSCP et les EPST, peuvent </w:t>
      </w:r>
      <w:r w:rsidRPr="006E3EE1">
        <w:rPr>
          <w:rFonts w:cs="Arial"/>
          <w:bCs/>
          <w:i/>
          <w:lang w:eastAsia="fr-FR"/>
        </w:rPr>
        <w:t>« </w:t>
      </w:r>
      <w:r w:rsidRPr="006E3EE1">
        <w:rPr>
          <w:rFonts w:cs="Arial"/>
          <w:i/>
          <w:lang w:eastAsia="fr-FR"/>
        </w:rPr>
        <w:t>faire bénéficier leurs personnels d’un intéressement à la préparation, à la réalisation et à la gestion d’opérations de recherches, d’études, d’analyses, d’essais, d’expertise effectuées aux termes de contrats et de conventions passés par eux ».</w:t>
      </w:r>
      <w:r>
        <w:rPr>
          <w:rFonts w:cs="Arial"/>
          <w:lang w:eastAsia="fr-FR"/>
        </w:rPr>
        <w:t xml:space="preserve"> Il donne aussi le droit de faire bénéficier les personnels de contrepartie des dons ou legs. </w:t>
      </w:r>
    </w:p>
    <w:p w:rsidR="00BC7EDA" w:rsidRDefault="00BC7EDA" w:rsidP="00BC7EDA">
      <w:pPr>
        <w:jc w:val="both"/>
        <w:rPr>
          <w:rFonts w:cs="Arial"/>
          <w:lang w:eastAsia="fr-FR"/>
        </w:rPr>
      </w:pPr>
    </w:p>
    <w:p w:rsidR="00BC7EDA" w:rsidRDefault="00BC7EDA" w:rsidP="00BC7EDA">
      <w:pPr>
        <w:jc w:val="both"/>
        <w:rPr>
          <w:rFonts w:cs="Arial"/>
          <w:lang w:eastAsia="fr-FR"/>
        </w:rPr>
      </w:pPr>
      <w:r w:rsidRPr="00383A66">
        <w:rPr>
          <w:rFonts w:cs="Arial"/>
          <w:u w:val="single"/>
          <w:lang w:eastAsia="fr-FR"/>
        </w:rPr>
        <w:t>Analyse des nouveautés essentielles </w:t>
      </w:r>
      <w:r>
        <w:rPr>
          <w:rFonts w:cs="Arial"/>
          <w:lang w:eastAsia="fr-FR"/>
        </w:rPr>
        <w:t>:</w:t>
      </w:r>
    </w:p>
    <w:p w:rsidR="00BC7EDA" w:rsidRDefault="00BC7EDA" w:rsidP="00BC7EDA">
      <w:pPr>
        <w:jc w:val="both"/>
        <w:rPr>
          <w:rFonts w:cs="Arial"/>
          <w:lang w:eastAsia="fr-FR"/>
        </w:rPr>
      </w:pPr>
    </w:p>
    <w:p w:rsidR="00BC7EDA" w:rsidRDefault="00BC7EDA" w:rsidP="00BC7EDA">
      <w:pPr>
        <w:jc w:val="both"/>
        <w:rPr>
          <w:rFonts w:cs="Arial"/>
          <w:lang w:eastAsia="fr-FR"/>
        </w:rPr>
      </w:pPr>
      <w:r>
        <w:rPr>
          <w:rFonts w:cs="Arial"/>
          <w:lang w:eastAsia="fr-FR"/>
        </w:rPr>
        <w:t xml:space="preserve">- ces intéressements, imputés sur </w:t>
      </w:r>
      <w:r w:rsidRPr="006E3EE1">
        <w:rPr>
          <w:rFonts w:cs="Arial"/>
          <w:i/>
          <w:lang w:eastAsia="fr-FR"/>
        </w:rPr>
        <w:t>« les ressources de l’établissement provenant de chacun de ces contrats, conventions, dons ou legs »</w:t>
      </w:r>
      <w:r>
        <w:rPr>
          <w:rFonts w:ascii="Arial" w:hAnsi="Arial" w:cs="Arial"/>
          <w:lang w:eastAsia="fr-FR"/>
        </w:rPr>
        <w:t xml:space="preserve"> </w:t>
      </w:r>
      <w:r>
        <w:rPr>
          <w:rFonts w:cs="Arial"/>
          <w:lang w:eastAsia="fr-FR"/>
        </w:rPr>
        <w:t>ne peuvent être versés que « </w:t>
      </w:r>
      <w:r w:rsidRPr="006E3EE1">
        <w:rPr>
          <w:rFonts w:cs="Arial"/>
          <w:i/>
          <w:lang w:eastAsia="fr-FR"/>
        </w:rPr>
        <w:t>pour une opération achevée </w:t>
      </w:r>
      <w:r>
        <w:rPr>
          <w:rFonts w:cs="Arial"/>
          <w:lang w:eastAsia="fr-FR"/>
        </w:rPr>
        <w:t>».</w:t>
      </w:r>
    </w:p>
    <w:p w:rsidR="00BC7EDA" w:rsidRPr="006E3EE1" w:rsidRDefault="00BC7EDA" w:rsidP="00BC7EDA">
      <w:pPr>
        <w:jc w:val="both"/>
      </w:pPr>
      <w:r>
        <w:rPr>
          <w:rFonts w:cs="Arial"/>
          <w:lang w:eastAsia="fr-FR"/>
        </w:rPr>
        <w:t xml:space="preserve">- </w:t>
      </w:r>
      <w:r>
        <w:rPr>
          <w:rFonts w:cs="Arial"/>
          <w:i/>
          <w:lang w:eastAsia="fr-FR"/>
        </w:rPr>
        <w:t>« l</w:t>
      </w:r>
      <w:r w:rsidRPr="00657697">
        <w:rPr>
          <w:rFonts w:cs="Arial"/>
          <w:i/>
          <w:lang w:eastAsia="fr-FR"/>
        </w:rPr>
        <w:t>es critères d’attribution de l’intéressement, qui prennent en compte notamment les services rendus par les bénéficiaires et leur participation à l’opération, sont fixés par le conseil d’administration de l’établissement public concerné. Il en va de même des modalités de versement de l’intéressement et de la fixation du montant maximal annuel d’intéressement par bénéficiaire »</w:t>
      </w:r>
    </w:p>
    <w:p w:rsidR="00BC7EDA" w:rsidRDefault="00BC7EDA" w:rsidP="00BC7EDA">
      <w:pPr>
        <w:widowControl w:val="0"/>
        <w:autoSpaceDE w:val="0"/>
        <w:autoSpaceDN w:val="0"/>
        <w:adjustRightInd w:val="0"/>
        <w:ind w:right="-999"/>
        <w:jc w:val="both"/>
        <w:rPr>
          <w:rFonts w:ascii="Arial" w:hAnsi="Arial" w:cs="Arial"/>
          <w:b/>
          <w:bCs/>
          <w:lang w:eastAsia="fr-FR"/>
        </w:rPr>
      </w:pPr>
    </w:p>
    <w:p w:rsidR="00BC7EDA" w:rsidRPr="00657697" w:rsidRDefault="00BC7EDA" w:rsidP="00BC7EDA">
      <w:pPr>
        <w:widowControl w:val="0"/>
        <w:autoSpaceDE w:val="0"/>
        <w:autoSpaceDN w:val="0"/>
        <w:adjustRightInd w:val="0"/>
        <w:ind w:right="-6"/>
        <w:jc w:val="both"/>
        <w:rPr>
          <w:rFonts w:cs="Arial"/>
          <w:bCs/>
          <w:lang w:eastAsia="fr-FR"/>
        </w:rPr>
      </w:pPr>
      <w:r>
        <w:rPr>
          <w:rFonts w:cs="Arial"/>
          <w:bCs/>
          <w:lang w:eastAsia="fr-FR"/>
        </w:rPr>
        <w:t>Les montants individuels dépendent de ces règles générales mais aussi du montant disponible au titre de l’opération, ce qui nécessite une analyse des coûts attestée par l’agent comptable :</w:t>
      </w:r>
    </w:p>
    <w:p w:rsidR="00BC7EDA" w:rsidRPr="00657697" w:rsidRDefault="00BC7EDA" w:rsidP="00BC7EDA">
      <w:pPr>
        <w:widowControl w:val="0"/>
        <w:autoSpaceDE w:val="0"/>
        <w:autoSpaceDN w:val="0"/>
        <w:adjustRightInd w:val="0"/>
        <w:ind w:right="340"/>
        <w:jc w:val="both"/>
        <w:rPr>
          <w:rFonts w:cs="Arial"/>
          <w:i/>
          <w:lang w:eastAsia="fr-FR"/>
        </w:rPr>
      </w:pPr>
      <w:r>
        <w:rPr>
          <w:rFonts w:cs="Arial"/>
          <w:i/>
          <w:lang w:eastAsia="fr-FR"/>
        </w:rPr>
        <w:t>« l</w:t>
      </w:r>
      <w:r w:rsidRPr="00657697">
        <w:rPr>
          <w:rFonts w:cs="Arial"/>
          <w:i/>
          <w:lang w:eastAsia="fr-FR"/>
        </w:rPr>
        <w:t>e montant total de l’intéressement réparti entre les agents ayant participé de manière individuelle ou collective à une opération ne peut excéder 50 % du montant disponible au titre de celle-ci. Le montant disponible est égal à la différence entre le total des ressources acquises à l’établissement et le total des charges nécessaires à la réalisation de l’opération.</w:t>
      </w:r>
    </w:p>
    <w:p w:rsidR="00BC7EDA" w:rsidRPr="00383A66" w:rsidRDefault="00BC7EDA" w:rsidP="00BC7EDA">
      <w:pPr>
        <w:widowControl w:val="0"/>
        <w:autoSpaceDE w:val="0"/>
        <w:autoSpaceDN w:val="0"/>
        <w:adjustRightInd w:val="0"/>
        <w:ind w:right="340"/>
        <w:jc w:val="both"/>
        <w:rPr>
          <w:rFonts w:cs="Arial"/>
          <w:i/>
          <w:lang w:eastAsia="fr-FR"/>
        </w:rPr>
      </w:pPr>
      <w:r>
        <w:rPr>
          <w:rFonts w:cs="Arial"/>
          <w:i/>
          <w:lang w:eastAsia="fr-FR"/>
        </w:rPr>
        <w:t>L</w:t>
      </w:r>
      <w:r w:rsidRPr="00657697">
        <w:rPr>
          <w:rFonts w:cs="Arial"/>
          <w:i/>
          <w:lang w:eastAsia="fr-FR"/>
        </w:rPr>
        <w:t>e montant disponible au titre de l’opération est attesté par l’agent comptable, qui s’appuie sur une comptabilité d’analyse des coûts.</w:t>
      </w:r>
      <w:r>
        <w:rPr>
          <w:rFonts w:cs="Arial"/>
          <w:i/>
          <w:lang w:eastAsia="fr-FR"/>
        </w:rPr>
        <w:t> »</w:t>
      </w:r>
    </w:p>
    <w:p w:rsidR="00BC7EDA" w:rsidRDefault="00BC7EDA" w:rsidP="00BC7EDA">
      <w:pPr>
        <w:widowControl w:val="0"/>
        <w:autoSpaceDE w:val="0"/>
        <w:autoSpaceDN w:val="0"/>
        <w:adjustRightInd w:val="0"/>
        <w:ind w:right="340"/>
        <w:jc w:val="both"/>
        <w:rPr>
          <w:rFonts w:cs="Arial"/>
          <w:lang w:eastAsia="fr-FR"/>
        </w:rPr>
      </w:pPr>
    </w:p>
    <w:p w:rsidR="00BC7EDA" w:rsidRPr="004B1FBF" w:rsidRDefault="00BC7EDA" w:rsidP="00BC7EDA">
      <w:pPr>
        <w:widowControl w:val="0"/>
        <w:autoSpaceDE w:val="0"/>
        <w:autoSpaceDN w:val="0"/>
        <w:adjustRightInd w:val="0"/>
        <w:ind w:right="340"/>
        <w:jc w:val="both"/>
        <w:rPr>
          <w:rFonts w:ascii="Arial" w:hAnsi="Arial" w:cs="Arial"/>
          <w:lang w:eastAsia="fr-FR"/>
        </w:rPr>
      </w:pPr>
      <w:r>
        <w:rPr>
          <w:rFonts w:cs="Arial"/>
          <w:lang w:eastAsia="fr-FR"/>
        </w:rPr>
        <w:t xml:space="preserve">Le président ou le directeur arrête la liste des bénéficiaires et les  montants, sur </w:t>
      </w:r>
      <w:r w:rsidRPr="005B1EBA">
        <w:rPr>
          <w:rFonts w:cs="Arial"/>
          <w:i/>
          <w:lang w:eastAsia="fr-FR"/>
        </w:rPr>
        <w:t>« proposition du directeur de la composante, de l’unité de recherche ou du responsable du service dans lesquels exercent les bénéficiaires. »</w:t>
      </w:r>
      <w:r>
        <w:rPr>
          <w:rFonts w:cs="Arial"/>
          <w:i/>
          <w:lang w:eastAsia="fr-FR"/>
        </w:rPr>
        <w:t>.</w:t>
      </w:r>
      <w:r w:rsidRPr="004B1FBF">
        <w:rPr>
          <w:rFonts w:cs="Arial"/>
          <w:lang w:eastAsia="fr-FR"/>
        </w:rPr>
        <w:t xml:space="preserve"> Les personnels concernés peuvent relever d’autres établissements, et c’est l’établissement </w:t>
      </w:r>
      <w:r w:rsidRPr="004B1FBF">
        <w:rPr>
          <w:rFonts w:cs="Arial"/>
          <w:i/>
          <w:lang w:eastAsia="fr-FR"/>
        </w:rPr>
        <w:t>« qui assure la gestion administrative et financière de l’opération </w:t>
      </w:r>
      <w:r w:rsidRPr="004B1FBF">
        <w:rPr>
          <w:rFonts w:cs="Arial"/>
          <w:lang w:eastAsia="fr-FR"/>
        </w:rPr>
        <w:t>» qui attribue les primes, et en informe l’établissement employeur.</w:t>
      </w:r>
    </w:p>
    <w:p w:rsidR="00BC7EDA" w:rsidRDefault="00BC7EDA" w:rsidP="00BC7EDA">
      <w:pPr>
        <w:widowControl w:val="0"/>
        <w:autoSpaceDE w:val="0"/>
        <w:autoSpaceDN w:val="0"/>
        <w:adjustRightInd w:val="0"/>
        <w:ind w:right="-999"/>
        <w:jc w:val="both"/>
        <w:rPr>
          <w:rFonts w:ascii="Arial" w:hAnsi="Arial" w:cs="Arial"/>
          <w:lang w:eastAsia="fr-FR"/>
        </w:rPr>
      </w:pPr>
      <w:r>
        <w:rPr>
          <w:rFonts w:ascii="Arial" w:hAnsi="Arial" w:cs="Arial"/>
          <w:lang w:eastAsia="fr-FR"/>
        </w:rPr>
        <w:t> </w:t>
      </w:r>
    </w:p>
    <w:p w:rsidR="00BC7EDA" w:rsidRDefault="00BC7EDA" w:rsidP="00BC7EDA">
      <w:pPr>
        <w:widowControl w:val="0"/>
        <w:autoSpaceDE w:val="0"/>
        <w:autoSpaceDN w:val="0"/>
        <w:adjustRightInd w:val="0"/>
        <w:ind w:right="-6"/>
        <w:jc w:val="both"/>
        <w:rPr>
          <w:rFonts w:cs="Arial"/>
          <w:lang w:eastAsia="fr-FR"/>
        </w:rPr>
      </w:pPr>
      <w:r>
        <w:rPr>
          <w:rFonts w:cs="Arial"/>
          <w:lang w:eastAsia="fr-FR"/>
        </w:rPr>
        <w:t>Un rapport annuel est présenté au CA indiquant par opération le montant des sommes distribuées et le nombre de bénéficiaires.</w:t>
      </w:r>
    </w:p>
    <w:p w:rsidR="00BC7EDA" w:rsidRDefault="00BC7EDA" w:rsidP="00BC7EDA">
      <w:pPr>
        <w:widowControl w:val="0"/>
        <w:autoSpaceDE w:val="0"/>
        <w:autoSpaceDN w:val="0"/>
        <w:adjustRightInd w:val="0"/>
        <w:ind w:right="-6"/>
        <w:jc w:val="both"/>
        <w:rPr>
          <w:rFonts w:cs="Arial"/>
          <w:lang w:eastAsia="fr-FR"/>
        </w:rPr>
      </w:pPr>
    </w:p>
    <w:p w:rsidR="00BC7EDA" w:rsidRPr="00DA55B3" w:rsidRDefault="00BC7EDA" w:rsidP="00BC7EDA">
      <w:pPr>
        <w:widowControl w:val="0"/>
        <w:autoSpaceDE w:val="0"/>
        <w:autoSpaceDN w:val="0"/>
        <w:adjustRightInd w:val="0"/>
        <w:ind w:right="-6"/>
        <w:jc w:val="both"/>
        <w:rPr>
          <w:rFonts w:cs="Arial"/>
          <w:u w:val="single"/>
          <w:lang w:eastAsia="fr-FR"/>
        </w:rPr>
      </w:pPr>
      <w:r w:rsidRPr="00DA55B3">
        <w:rPr>
          <w:rFonts w:cs="Arial"/>
          <w:u w:val="single"/>
          <w:lang w:eastAsia="fr-FR"/>
        </w:rPr>
        <w:t>Commentaires :</w:t>
      </w:r>
    </w:p>
    <w:p w:rsidR="00BC7EDA" w:rsidRDefault="00BC7EDA" w:rsidP="00BC7EDA">
      <w:pPr>
        <w:widowControl w:val="0"/>
        <w:autoSpaceDE w:val="0"/>
        <w:autoSpaceDN w:val="0"/>
        <w:adjustRightInd w:val="0"/>
        <w:ind w:right="-6"/>
        <w:jc w:val="both"/>
        <w:rPr>
          <w:rFonts w:cs="Arial"/>
          <w:lang w:eastAsia="fr-FR"/>
        </w:rPr>
      </w:pPr>
    </w:p>
    <w:p w:rsidR="00BC7EDA" w:rsidRDefault="00BC7EDA" w:rsidP="00BC7EDA">
      <w:pPr>
        <w:widowControl w:val="0"/>
        <w:autoSpaceDE w:val="0"/>
        <w:autoSpaceDN w:val="0"/>
        <w:adjustRightInd w:val="0"/>
        <w:ind w:right="-6"/>
        <w:jc w:val="both"/>
        <w:rPr>
          <w:rFonts w:cs="Arial"/>
          <w:lang w:eastAsia="fr-FR"/>
        </w:rPr>
      </w:pPr>
      <w:r>
        <w:rPr>
          <w:rFonts w:cs="Arial"/>
          <w:lang w:eastAsia="fr-FR"/>
        </w:rPr>
        <w:t xml:space="preserve">Ces intéressements concernent en théorie tous les personnels, titulaires et contractuels, et tous les contrats, dont les contrats ANR et européens. Elle concerne en particulier les bénéficiaires de contrats doctoraux, mais aussi les personnes qui ont un contrat leur </w:t>
      </w:r>
      <w:r>
        <w:rPr>
          <w:rFonts w:cs="Arial"/>
          <w:lang w:eastAsia="fr-FR"/>
        </w:rPr>
        <w:lastRenderedPageBreak/>
        <w:t xml:space="preserve">permettant d’assurer des vacations d’enseignement. Le projet de circulaire suggère de recruter comme contractuel toutes les personnes participant au contrat, afin de leur ouvrir le droit de toucher cet intéressement. </w:t>
      </w:r>
    </w:p>
    <w:p w:rsidR="00BC7EDA" w:rsidRDefault="00BC7EDA" w:rsidP="00BC7EDA">
      <w:pPr>
        <w:widowControl w:val="0"/>
        <w:autoSpaceDE w:val="0"/>
        <w:autoSpaceDN w:val="0"/>
        <w:adjustRightInd w:val="0"/>
        <w:ind w:right="-6"/>
        <w:jc w:val="both"/>
        <w:rPr>
          <w:rFonts w:cs="Arial"/>
          <w:lang w:eastAsia="fr-FR"/>
        </w:rPr>
      </w:pPr>
    </w:p>
    <w:p w:rsidR="00BC7EDA" w:rsidRDefault="00BC7EDA" w:rsidP="00BC7EDA">
      <w:pPr>
        <w:widowControl w:val="0"/>
        <w:autoSpaceDE w:val="0"/>
        <w:autoSpaceDN w:val="0"/>
        <w:adjustRightInd w:val="0"/>
        <w:ind w:right="-6"/>
        <w:jc w:val="both"/>
        <w:rPr>
          <w:rFonts w:cs="Arial"/>
          <w:lang w:eastAsia="fr-FR"/>
        </w:rPr>
      </w:pPr>
      <w:r>
        <w:rPr>
          <w:rFonts w:cs="Arial"/>
          <w:lang w:eastAsia="fr-FR"/>
        </w:rPr>
        <w:t>L’ « opération » doit être achevée pour pouvoir verser un intéressement, ce qui justifie de prévoir des tranches intermédiaires d’exécution des contrats, chacune d’entre elles étant alors considérée comme une opération. Reste à suivre en comptabilité d’analyse des coûts chacune de ces « opérations ». Le périmètre des bénéficiaires est donc très étendu.</w:t>
      </w:r>
    </w:p>
    <w:p w:rsidR="00BC7EDA" w:rsidRDefault="00BC7EDA" w:rsidP="00BC7EDA">
      <w:pPr>
        <w:widowControl w:val="0"/>
        <w:autoSpaceDE w:val="0"/>
        <w:autoSpaceDN w:val="0"/>
        <w:adjustRightInd w:val="0"/>
        <w:ind w:right="-6"/>
        <w:jc w:val="both"/>
        <w:rPr>
          <w:rFonts w:cs="Arial"/>
          <w:lang w:eastAsia="fr-FR"/>
        </w:rPr>
      </w:pPr>
    </w:p>
    <w:p w:rsidR="00BC7EDA" w:rsidRDefault="00BC7EDA" w:rsidP="00BC7EDA">
      <w:pPr>
        <w:widowControl w:val="0"/>
        <w:autoSpaceDE w:val="0"/>
        <w:autoSpaceDN w:val="0"/>
        <w:adjustRightInd w:val="0"/>
        <w:ind w:right="-6"/>
        <w:jc w:val="both"/>
        <w:rPr>
          <w:rFonts w:cs="Arial"/>
          <w:lang w:eastAsia="fr-FR"/>
        </w:rPr>
      </w:pPr>
      <w:r>
        <w:rPr>
          <w:rFonts w:cs="Arial"/>
          <w:lang w:eastAsia="fr-FR"/>
        </w:rPr>
        <w:t>Ces intéressements se cumulent avec toutes les autres primes et les plafonds individuels fixés par le CA ne valent que pour la part des intéressements versés par l’établissement concerné. D’autres primes, venant d’autres établissements, peuvent permettre de dépasser ce plafond.</w:t>
      </w:r>
    </w:p>
    <w:p w:rsidR="00BC7EDA" w:rsidRDefault="00BC7EDA" w:rsidP="00BC7EDA">
      <w:pPr>
        <w:widowControl w:val="0"/>
        <w:autoSpaceDE w:val="0"/>
        <w:autoSpaceDN w:val="0"/>
        <w:adjustRightInd w:val="0"/>
        <w:ind w:right="-6"/>
        <w:jc w:val="both"/>
        <w:rPr>
          <w:rFonts w:cs="Arial"/>
          <w:lang w:eastAsia="fr-FR"/>
        </w:rPr>
      </w:pPr>
    </w:p>
    <w:p w:rsidR="00BC7EDA" w:rsidRPr="005B1EBA" w:rsidRDefault="00BC7EDA" w:rsidP="00BC7EDA">
      <w:pPr>
        <w:widowControl w:val="0"/>
        <w:autoSpaceDE w:val="0"/>
        <w:autoSpaceDN w:val="0"/>
        <w:adjustRightInd w:val="0"/>
        <w:ind w:right="-6"/>
        <w:jc w:val="both"/>
        <w:rPr>
          <w:rFonts w:cs="Arial"/>
          <w:lang w:eastAsia="fr-FR"/>
        </w:rPr>
      </w:pPr>
      <w:r>
        <w:rPr>
          <w:rFonts w:cs="Arial"/>
          <w:lang w:eastAsia="fr-FR"/>
        </w:rPr>
        <w:t>Les contrats et conventions signés avant le 7 juin 2010 et en cours d’exécution à cette date relèvent des dispositions antérieures.</w:t>
      </w:r>
    </w:p>
    <w:p w:rsidR="00BC7EDA" w:rsidRDefault="00BC7EDA" w:rsidP="00BC7EDA">
      <w:pPr>
        <w:jc w:val="both"/>
      </w:pPr>
    </w:p>
    <w:p w:rsidR="00BC7EDA" w:rsidRPr="006533F1" w:rsidRDefault="00BC7EDA" w:rsidP="00BC7EDA">
      <w:pPr>
        <w:jc w:val="both"/>
        <w:rPr>
          <w:b/>
        </w:rPr>
      </w:pPr>
      <w:r w:rsidRPr="006533F1">
        <w:rPr>
          <w:b/>
        </w:rPr>
        <w:t>Avis de la commission des moyens</w:t>
      </w:r>
      <w:r>
        <w:rPr>
          <w:b/>
        </w:rPr>
        <w:t xml:space="preserve"> sur le projet de circulaire</w:t>
      </w:r>
      <w:r w:rsidRPr="006533F1">
        <w:rPr>
          <w:b/>
        </w:rPr>
        <w:t> :</w:t>
      </w:r>
    </w:p>
    <w:p w:rsidR="00BC7EDA" w:rsidRDefault="00BC7EDA" w:rsidP="00BC7EDA">
      <w:r>
        <w:br/>
        <w:t xml:space="preserve">La commission des moyens et des personnels de la CPU, réunie le 15 septembre 2010, a pris connaissance du projet de circulaire rédigé par la DGRH, concernant le décret instituant l’intéressement collectif des personnels des organismes de recherche et des universités, circulaire dont la publication est prévue pour le mois d’octobre, et a émis les observations suivantes : </w:t>
      </w:r>
      <w:r>
        <w:br/>
      </w:r>
      <w:r>
        <w:br/>
        <w:t xml:space="preserve"> Partie I- A- </w:t>
      </w:r>
      <w:r w:rsidRPr="00FE1728">
        <w:rPr>
          <w:u w:val="single"/>
        </w:rPr>
        <w:t>Les bénéficiaires</w:t>
      </w:r>
      <w:r>
        <w:br/>
      </w:r>
      <w:r>
        <w:br/>
        <w:t>Au 4ème alinéa, la circulaire indique « si un contrat associe à sa réalisation une personne n’ayant pas la qualité d’agent public, il convient d’engager cette personne en qualité d’agent contractuel. Elle deviendra dès lors personnel de l’établissement et sera rémunérée … ».  La Commission s’est interrogée sur ce paragraphe : quels sont les motifs qui ont amené à sa rédaction? Quelle situation vise-t-on ? Un exemple pourrait être introduit pour en faciliter la compréhension.</w:t>
      </w:r>
      <w:r>
        <w:br/>
      </w:r>
      <w:r>
        <w:br/>
        <w:t xml:space="preserve">Partie II- </w:t>
      </w:r>
      <w:r w:rsidRPr="00FE1728">
        <w:rPr>
          <w:u w:val="single"/>
        </w:rPr>
        <w:t>Le financement et Partie III – La procédure d’attribution</w:t>
      </w:r>
      <w:r>
        <w:br/>
      </w:r>
      <w:r>
        <w:br/>
        <w:t>La circulaire introduit la notion de procédure annuelle d’attribution d’un intéressement,  qui ne figurait pas dans le décret. La Commission s’interroge sur les modalités de mise en œuvre d’un versement annuel si l’opération n’est pas achevée : en effet pour assurer le paiement annuel, il faut qu’il existe un montant disponible au titre de l’opération, or les ressources proviennent des contrats, qui, eux, peuvent avoir des échéances pluriannuelles insécables.</w:t>
      </w:r>
      <w:r>
        <w:br/>
      </w:r>
      <w:r>
        <w:br/>
        <w:t> Il est noté que la rédaction de cette partie n’est pas terminée, que la DAF doit apporter des explications. La Commission attend ces compléments qui devraient permettre d’éclairer le travail de l’agent comptable et de préciser les éléments qui lui sont nécessaires  pour établir le montant disponible au titre de l’intéressement.</w:t>
      </w:r>
      <w:r>
        <w:br/>
      </w:r>
      <w:r>
        <w:br/>
        <w:t>Plusieurs termes demandent à être précisés, la circulaire ne disant rien à leur sujet, notamment sur « les ressources acquises » : s’agit-il de trésorerie, de droits constatés, de réalisations acceptées par le tiers ou simplement déclarées par l’université, d’autres critères ?</w:t>
      </w:r>
      <w:r>
        <w:br/>
      </w:r>
      <w:r>
        <w:br/>
        <w:t>Le fait de prendre en compte le coût complet, afin de déterminer le montant disponible au titre de l’opération, implique a priori de s’appuyer sur la notion de produits pour assurer la logique côté recettes. De ce fait, le montant disponible au titre d’un contrat ne devrait-il pas s’appuyer sur la détermination du résultat analytique ? Ceci permettrait de répondre à une des interrogations subsistant dans le projet de circulaire.</w:t>
      </w:r>
      <w:r>
        <w:br/>
      </w:r>
      <w:r>
        <w:br/>
        <w:t> Par ailleurs, il est remarqué que le décret croise en permanence les notions d’opération et de contrat. Or un contrat peut financer une seule opération ou plusieurs opérations et une opération peut être financée par un ou plusieurs contrats. Les établissements devront donc  mettre en place un double suivi croisé.</w:t>
      </w:r>
    </w:p>
    <w:p w:rsidR="00BC7EDA" w:rsidRDefault="00BC7EDA" w:rsidP="00BC7EDA">
      <w:r>
        <w:t>Enfin la Commission se demande ce qui se passerait si une opération se révélait déficitaire à son terme ? Ne faudrait-il pas introduire une alerte sur ce point ?</w:t>
      </w:r>
      <w:r>
        <w:br/>
      </w:r>
    </w:p>
    <w:p w:rsidR="00BC7EDA" w:rsidRDefault="00BC7EDA" w:rsidP="00BC7EDA">
      <w:pPr>
        <w:jc w:val="both"/>
      </w:pPr>
      <w:r>
        <w:t>Une dernière suggestion : la circulaire pourrait bénéficier utilement de l’ajout d’un ou deux exemples.</w:t>
      </w:r>
    </w:p>
    <w:p w:rsidR="00BC7EDA" w:rsidRDefault="00BC7EDA" w:rsidP="00BC7EDA">
      <w:pPr>
        <w:jc w:val="both"/>
      </w:pPr>
    </w:p>
    <w:p w:rsidR="00BC7EDA" w:rsidRDefault="00BC7EDA" w:rsidP="00BC7EDA">
      <w:pPr>
        <w:jc w:val="both"/>
      </w:pPr>
    </w:p>
    <w:p w:rsidR="00BC7EDA" w:rsidRDefault="00BC7EDA" w:rsidP="00BC7EDA">
      <w:pPr>
        <w:jc w:val="both"/>
      </w:pPr>
      <w:r w:rsidRPr="00F106CD">
        <w:rPr>
          <w:b/>
        </w:rPr>
        <w:t xml:space="preserve">Remarques complémentaires : </w:t>
      </w:r>
    </w:p>
    <w:p w:rsidR="00BC7EDA" w:rsidRDefault="00BC7EDA" w:rsidP="00BC7EDA">
      <w:pPr>
        <w:jc w:val="both"/>
      </w:pPr>
    </w:p>
    <w:p w:rsidR="00BC7EDA" w:rsidRPr="00F5541E" w:rsidRDefault="00BC7EDA" w:rsidP="00BC7EDA">
      <w:pPr>
        <w:jc w:val="both"/>
        <w:rPr>
          <w:rFonts w:cs="Arial"/>
          <w:lang w:eastAsia="fr-FR"/>
        </w:rPr>
      </w:pPr>
      <w:r>
        <w:t xml:space="preserve">L’objet du projet de circulaire est  le suivant </w:t>
      </w:r>
      <w:r w:rsidRPr="00FE1728">
        <w:t>« </w:t>
      </w:r>
      <w:r w:rsidRPr="00FE1728">
        <w:rPr>
          <w:rFonts w:cs="Arial"/>
          <w:i/>
        </w:rPr>
        <w:t>nouvelles modalités de l’intéressement pour services rendus lors de la participation à des opérations de recherche scientifique</w:t>
      </w:r>
      <w:r w:rsidRPr="00FE1728">
        <w:rPr>
          <w:rFonts w:cs="Arial"/>
        </w:rPr>
        <w:t>»</w:t>
      </w:r>
      <w:r>
        <w:rPr>
          <w:rFonts w:cs="Arial"/>
        </w:rPr>
        <w:t>. Il semble donc plus restrictif que le décret qui où l’on parle aussi</w:t>
      </w:r>
      <w:r w:rsidRPr="00FE1728">
        <w:rPr>
          <w:rFonts w:cs="Arial"/>
        </w:rPr>
        <w:t xml:space="preserve"> « </w:t>
      </w:r>
      <w:r w:rsidRPr="00FE1728">
        <w:rPr>
          <w:rFonts w:cs="Arial"/>
          <w:i/>
          <w:lang w:eastAsia="fr-FR"/>
        </w:rPr>
        <w:t>d’études, d’analyses, d’essais, d’expertise »</w:t>
      </w:r>
      <w:r w:rsidRPr="00FE1728">
        <w:rPr>
          <w:rFonts w:cs="Arial"/>
          <w:lang w:eastAsia="fr-FR"/>
        </w:rPr>
        <w:t xml:space="preserve"> et de « </w:t>
      </w:r>
      <w:r w:rsidRPr="00FE1728">
        <w:rPr>
          <w:rFonts w:cs="Arial"/>
          <w:i/>
          <w:lang w:eastAsia="fr-FR"/>
        </w:rPr>
        <w:t>dons et legs </w:t>
      </w:r>
      <w:r w:rsidRPr="00FE1728">
        <w:rPr>
          <w:rFonts w:cs="Arial"/>
          <w:lang w:eastAsia="fr-FR"/>
        </w:rPr>
        <w:t xml:space="preserve">». </w:t>
      </w:r>
      <w:r>
        <w:rPr>
          <w:rFonts w:cs="Arial"/>
          <w:lang w:eastAsia="fr-FR"/>
        </w:rPr>
        <w:t xml:space="preserve">Cette différence est-elle intentionnelle ? Le projet de circulaire est ambiguë puisqu’on y lit : </w:t>
      </w:r>
      <w:r w:rsidRPr="00F5541E">
        <w:rPr>
          <w:rFonts w:cs="Arial"/>
          <w:i/>
          <w:lang w:eastAsia="fr-FR"/>
        </w:rPr>
        <w:t>« </w:t>
      </w:r>
      <w:r w:rsidRPr="00F5541E">
        <w:rPr>
          <w:rFonts w:cs="Arial"/>
          <w:i/>
        </w:rPr>
        <w:t>Toutefois, les opérations de prestations de service sans lien avec la recherche scientifique ou les laboratoires qui en sont les opérateurs ne relèvent pas du dispositif : il en est ainsi des activités de location de locaux ou de prestations liées à la formation par exemple»</w:t>
      </w:r>
      <w:r>
        <w:rPr>
          <w:rFonts w:cs="Arial"/>
          <w:i/>
        </w:rPr>
        <w:t xml:space="preserve">. </w:t>
      </w:r>
      <w:r>
        <w:rPr>
          <w:rFonts w:cs="Arial"/>
        </w:rPr>
        <w:t>Le décret ne mentionne pas directement cette nécessité de lien avec la recherche scientifique. On peut cependant l’inférer du fait que les établissements publics concernés par ce décret sont ceux relevant du MESR ayant « une mission statutaire de recherche », mais ce raisonnement est indirect. Si l’on en croit le projet de circulaire,  les expertises ou essais en lien avec la formation ne seraient pas éligibles. Même chose pour certains dons et legs, puisque le projet de circulaire indique que « </w:t>
      </w:r>
      <w:r>
        <w:rPr>
          <w:rFonts w:cs="Arial"/>
          <w:i/>
        </w:rPr>
        <w:t>l</w:t>
      </w:r>
      <w:r w:rsidRPr="00B425C3">
        <w:rPr>
          <w:rFonts w:cs="Arial"/>
          <w:i/>
        </w:rPr>
        <w:t>’intéressement peut également être versé dans le cadre d’opérations financées par  des dons</w:t>
      </w:r>
      <w:r>
        <w:rPr>
          <w:rStyle w:val="Appelnotedebasdep"/>
          <w:rFonts w:cs="Arial"/>
          <w:i/>
        </w:rPr>
        <w:footnoteReference w:id="1"/>
      </w:r>
      <w:r w:rsidRPr="00B425C3">
        <w:rPr>
          <w:rFonts w:cs="Arial"/>
          <w:i/>
        </w:rPr>
        <w:t xml:space="preserve"> et legs qui donnent lieu à la réalisation d’opération de recherche ou genres voisins »</w:t>
      </w:r>
      <w:r>
        <w:rPr>
          <w:rFonts w:cs="Arial"/>
        </w:rPr>
        <w:t xml:space="preserve"> allant une fois de plus au delà du décret, tout en introduisant la notion curieuse de « </w:t>
      </w:r>
      <w:r w:rsidRPr="00B425C3">
        <w:rPr>
          <w:rFonts w:cs="Arial"/>
          <w:i/>
        </w:rPr>
        <w:t>genre voisin </w:t>
      </w:r>
      <w:r>
        <w:rPr>
          <w:rFonts w:cs="Arial"/>
        </w:rPr>
        <w:t xml:space="preserve">».  </w:t>
      </w:r>
    </w:p>
    <w:p w:rsidR="00BC7EDA" w:rsidRDefault="00BC7EDA" w:rsidP="00BC7EDA">
      <w:pPr>
        <w:jc w:val="both"/>
      </w:pPr>
    </w:p>
    <w:p w:rsidR="00BC7EDA" w:rsidRDefault="00BC7EDA" w:rsidP="00BC7EDA">
      <w:pPr>
        <w:jc w:val="both"/>
      </w:pPr>
      <w:r>
        <w:t>Le versement de ces intéressements est lié à la capacité pour l’agent comptable d’attester annuellement le montant disponible sur chaque opération. Ce qui ne sera certainement pas simple dans tous les établissements. Cette notion est particulièrement délicate à comprendre pour les dons et legs. C’est plus facile pour les dons et pour les legs qui se font sans contrepartie nécessitant des dépenses: il semble qu’alors 50% du montant total du don peut être redistribué sous forme d’intéressement, ce qui est généreux. A noter que les dons et legs transitant par les fondations universitaires sont concernés.</w:t>
      </w:r>
    </w:p>
    <w:p w:rsidR="00BC7EDA" w:rsidRDefault="00BC7EDA" w:rsidP="00BC7EDA">
      <w:pPr>
        <w:jc w:val="both"/>
      </w:pPr>
    </w:p>
    <w:p w:rsidR="00BC7EDA" w:rsidRDefault="00BC7EDA" w:rsidP="00BC7EDA">
      <w:pPr>
        <w:jc w:val="both"/>
      </w:pPr>
      <w:r>
        <w:t xml:space="preserve">L’intéressement doit être lié à un contrat, ou un don ou legs, précis. Ce qui n’interdit pas de verser un intéressement pour des personnes qui jouent un rôle général dans plusieurs contrats (services de valorisation, services centraux …) mais qui empêche de le faire d’une façon forfaitaire indépendante du contrat. </w:t>
      </w:r>
    </w:p>
    <w:p w:rsidR="00BC7EDA" w:rsidRDefault="00BC7EDA" w:rsidP="00BC7EDA">
      <w:pPr>
        <w:jc w:val="both"/>
      </w:pPr>
    </w:p>
    <w:p w:rsidR="00BC7EDA" w:rsidRDefault="00BC7EDA" w:rsidP="00BC7EDA">
      <w:pPr>
        <w:jc w:val="both"/>
      </w:pPr>
      <w:r w:rsidRPr="00F106CD">
        <w:t>Les décisions d’attribution sont prises sur « </w:t>
      </w:r>
      <w:r w:rsidRPr="00256CBA">
        <w:rPr>
          <w:i/>
        </w:rPr>
        <w:t>proposition</w:t>
      </w:r>
      <w:r w:rsidRPr="00F106CD">
        <w:t> »</w:t>
      </w:r>
      <w:r>
        <w:t xml:space="preserve"> des composantes « </w:t>
      </w:r>
      <w:r w:rsidRPr="0060382D">
        <w:rPr>
          <w:i/>
        </w:rPr>
        <w:t>où exercent </w:t>
      </w:r>
      <w:r>
        <w:t>» les bénéficiaires</w:t>
      </w:r>
      <w:r>
        <w:rPr>
          <w:rStyle w:val="Appelnotedebasdep"/>
        </w:rPr>
        <w:footnoteReference w:id="2"/>
      </w:r>
      <w:r>
        <w:t xml:space="preserve">. Ce qui implique que le cadre général décidé par le CA soit assez précis pour que ces propositions aient une cohérence globale : en effet plusieurs composantes peuvent jouer un rôle pour un même contrat, ce qui pourrait conduire à des propositions incompatibles, par exemple supérieures aux deux plafonds du décret (le plafond de 50% du montant disponible et les plafonds individuels fixés par le CA). </w:t>
      </w:r>
    </w:p>
    <w:p w:rsidR="00BC7EDA" w:rsidRDefault="00BC7EDA" w:rsidP="00BC7EDA">
      <w:pPr>
        <w:jc w:val="both"/>
      </w:pPr>
    </w:p>
    <w:p w:rsidR="00BC7EDA" w:rsidRDefault="00BC7EDA" w:rsidP="00BC7EDA">
      <w:pPr>
        <w:jc w:val="both"/>
      </w:pPr>
      <w:r>
        <w:t xml:space="preserve">Dans le cas des UMR, il apparaît utile de se concerter entre organismes et universités ou écoles pour bien connaître les politiques des uns et des autres, notamment pour éviter que cette question ne soit trop déterminante pour savoir qui assurera la DGG. </w:t>
      </w:r>
    </w:p>
    <w:p w:rsidR="00BC7EDA" w:rsidRDefault="00BC7EDA" w:rsidP="00BC7EDA">
      <w:pPr>
        <w:jc w:val="both"/>
      </w:pPr>
    </w:p>
    <w:p w:rsidR="00BC7EDA" w:rsidRDefault="00BC7EDA" w:rsidP="00BC7EDA">
      <w:pPr>
        <w:jc w:val="both"/>
      </w:pPr>
      <w:r>
        <w:t xml:space="preserve">Dans le cas où les contrats sont portés par des structures de valorisation privées (filiales, futures SATT), c’est le droit privé, et pas ces règles d’intéressement, qui s’applique : les personnels publics peuvent être rémunérés par ces structures privées, sous réserve des règles de cumul.  </w:t>
      </w:r>
    </w:p>
    <w:p w:rsidR="00BC7EDA" w:rsidRDefault="00BC7EDA" w:rsidP="00BC7EDA">
      <w:pPr>
        <w:jc w:val="both"/>
      </w:pPr>
    </w:p>
    <w:p w:rsidR="00BC7EDA" w:rsidRPr="00F106CD" w:rsidRDefault="00BC7EDA" w:rsidP="00BC7EDA">
      <w:pPr>
        <w:jc w:val="both"/>
      </w:pPr>
      <w:r w:rsidRPr="00F106CD">
        <w:br/>
      </w:r>
      <w:r w:rsidRPr="00F106CD">
        <w:br/>
        <w:t> </w:t>
      </w:r>
    </w:p>
    <w:sectPr w:rsidR="00BC7EDA" w:rsidRPr="00F106CD" w:rsidSect="00BC7EDA">
      <w:pgSz w:w="11900" w:h="16840"/>
      <w:pgMar w:top="1417" w:right="1417" w:bottom="1417" w:left="1417" w:header="708" w:footer="708"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60FD" w:rsidRDefault="000760FD">
      <w:r>
        <w:separator/>
      </w:r>
    </w:p>
  </w:endnote>
  <w:endnote w:type="continuationSeparator" w:id="0">
    <w:p w:rsidR="000760FD" w:rsidRDefault="000760FD">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Lucida Grande">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60FD" w:rsidRDefault="000760FD">
      <w:r>
        <w:separator/>
      </w:r>
    </w:p>
  </w:footnote>
  <w:footnote w:type="continuationSeparator" w:id="0">
    <w:p w:rsidR="000760FD" w:rsidRDefault="000760FD">
      <w:r>
        <w:continuationSeparator/>
      </w:r>
    </w:p>
  </w:footnote>
  <w:footnote w:id="1">
    <w:p w:rsidR="00BC7EDA" w:rsidRDefault="00BC7EDA" w:rsidP="00BC7EDA">
      <w:pPr>
        <w:pStyle w:val="Notedebasdepage"/>
        <w:jc w:val="both"/>
      </w:pPr>
      <w:r>
        <w:rPr>
          <w:rStyle w:val="Appelnotedebasdep"/>
        </w:rPr>
        <w:footnoteRef/>
      </w:r>
      <w:r>
        <w:t xml:space="preserve"> Les questions fiscales concernant les donateurs sont ici importantes : la question des contreparties liées aux dons et legs sont examinées de près par les services fiscaux. Ce qui fait que la formule utilisée ici « dons et legs donnant lieu à la réalisation d’opération de recherche » va être délicate à comprendre et à vérifier.</w:t>
      </w:r>
    </w:p>
  </w:footnote>
  <w:footnote w:id="2">
    <w:p w:rsidR="00BC7EDA" w:rsidRDefault="00BC7EDA" w:rsidP="00BC7EDA">
      <w:pPr>
        <w:pStyle w:val="Notedebasdepage"/>
        <w:jc w:val="both"/>
      </w:pPr>
      <w:r>
        <w:rPr>
          <w:rStyle w:val="Appelnotedebasdep"/>
        </w:rPr>
        <w:footnoteRef/>
      </w:r>
      <w:r>
        <w:t xml:space="preserve"> J’imagine que l’on doit comprendre que la proposition doit venir de la composante où la personne exerce l’activité justifiant de cet intéressement. Ce qui peut être compliqué à interpréter pour les dons et legs.</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stylePaneFormatFilter w:val="3F01"/>
  <w:stylePaneSortMethod w:val="0000"/>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rsids>
    <w:rsidRoot w:val="00D5698A"/>
    <w:rsid w:val="000760FD"/>
    <w:rsid w:val="006C71C5"/>
    <w:rsid w:val="00BC7EDA"/>
  </w:rsids>
  <m:mathPr>
    <m:mathFont m:val="Cambria Math"/>
    <m:brkBin m:val="before"/>
    <m:brkBinSub m:val="--"/>
    <m:smallFrac m:val="off"/>
    <m:dispDef m:val="off"/>
    <m:lMargin m:val="0"/>
    <m:rMargin m:val="0"/>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671BC7"/>
    <w:rPr>
      <w:sz w:val="24"/>
      <w:szCs w:val="24"/>
      <w:lang w:eastAsia="en-US"/>
    </w:rPr>
  </w:style>
  <w:style w:type="character" w:default="1" w:styleId="Policepardfaut">
    <w:name w:val="Default Paragraph Font"/>
    <w:semiHidden/>
    <w:unhideWhenUsed/>
  </w:style>
  <w:style w:type="table" w:default="1" w:styleId="TableauNormal">
    <w:name w:val="Normal Table"/>
    <w:semiHidden/>
    <w:unhideWhenUsed/>
    <w:qFormat/>
    <w:tblPr>
      <w:tblInd w:w="0" w:type="dxa"/>
      <w:tblCellMar>
        <w:top w:w="0" w:type="dxa"/>
        <w:left w:w="108" w:type="dxa"/>
        <w:bottom w:w="0" w:type="dxa"/>
        <w:right w:w="108" w:type="dxa"/>
      </w:tblCellMar>
    </w:tblPr>
  </w:style>
  <w:style w:type="numbering" w:default="1" w:styleId="Aucuneliste">
    <w:name w:val="No List"/>
    <w:semiHidden/>
    <w:unhideWhenUsed/>
  </w:style>
  <w:style w:type="paragraph" w:styleId="Notedebasdepage">
    <w:name w:val="footnote text"/>
    <w:basedOn w:val="Normal"/>
    <w:link w:val="NotedebasdepageCar"/>
    <w:uiPriority w:val="99"/>
    <w:semiHidden/>
    <w:unhideWhenUsed/>
    <w:rsid w:val="00DA55B3"/>
  </w:style>
  <w:style w:type="character" w:customStyle="1" w:styleId="NotedebasdepageCar">
    <w:name w:val="Note de bas de page Car"/>
    <w:basedOn w:val="Policepardfaut"/>
    <w:link w:val="Notedebasdepage"/>
    <w:uiPriority w:val="99"/>
    <w:semiHidden/>
    <w:rsid w:val="00DA55B3"/>
    <w:rPr>
      <w:sz w:val="24"/>
      <w:szCs w:val="24"/>
      <w:lang w:eastAsia="en-US"/>
    </w:rPr>
  </w:style>
  <w:style w:type="character" w:styleId="Appelnotedebasdep">
    <w:name w:val="footnote reference"/>
    <w:basedOn w:val="Policepardfaut"/>
    <w:uiPriority w:val="99"/>
    <w:semiHidden/>
    <w:unhideWhenUsed/>
    <w:rsid w:val="00DA55B3"/>
    <w:rPr>
      <w:vertAlign w:val="superscript"/>
    </w:rPr>
  </w:style>
  <w:style w:type="paragraph" w:styleId="Textedebulles">
    <w:name w:val="Balloon Text"/>
    <w:basedOn w:val="Normal"/>
    <w:link w:val="TextedebullesCar"/>
    <w:uiPriority w:val="99"/>
    <w:semiHidden/>
    <w:unhideWhenUsed/>
    <w:rsid w:val="00AB6405"/>
    <w:rPr>
      <w:rFonts w:ascii="Lucida Grande" w:hAnsi="Lucida Grande"/>
      <w:sz w:val="18"/>
      <w:szCs w:val="18"/>
    </w:rPr>
  </w:style>
  <w:style w:type="character" w:customStyle="1" w:styleId="TextedebullesCar">
    <w:name w:val="Texte de bulles Car"/>
    <w:basedOn w:val="Policepardfaut"/>
    <w:link w:val="Textedebulles"/>
    <w:uiPriority w:val="99"/>
    <w:semiHidden/>
    <w:rsid w:val="00AB6405"/>
    <w:rPr>
      <w:rFonts w:ascii="Lucida Grande" w:hAnsi="Lucida Grande"/>
      <w:sz w:val="18"/>
      <w:szCs w:val="18"/>
      <w:lang w:eastAsia="en-US"/>
    </w:rPr>
  </w:style>
</w:styles>
</file>

<file path=word/webSettings.xml><?xml version="1.0" encoding="utf-8"?>
<w:webSettings xmlns:r="http://schemas.openxmlformats.org/officeDocument/2006/relationships" xmlns:w="http://schemas.openxmlformats.org/wordprocessingml/2006/main">
  <w:allowPNG/>
  <w:pixelsPerInch w:val="72"/>
  <w:targetScreenSz w:val="1024x768"/>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1597</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AMUE</Company>
  <LinksUpToDate>false</LinksUpToDate>
  <CharactersWithSpaces>10361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Jean-Yves Merindol</dc:creator>
  <cp:keywords/>
  <cp:lastModifiedBy>Marie-Helene.Wehr</cp:lastModifiedBy>
  <cp:revision>2</cp:revision>
  <dcterms:created xsi:type="dcterms:W3CDTF">2010-10-11T14:32:00Z</dcterms:created>
  <dcterms:modified xsi:type="dcterms:W3CDTF">2010-10-11T14:32:00Z</dcterms:modified>
</cp:coreProperties>
</file>