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arkdown-to-word-showcase"/>
    <w:p>
      <w:pPr>
        <w:pStyle w:val="Heading1"/>
      </w:pPr>
      <w:r>
        <w:t xml:space="preserve">Markdown to Word Showcase</w:t>
      </w:r>
    </w:p>
    <w:p>
      <w:pPr>
        <w:pStyle w:val="FirstParagraph"/>
      </w:pPr>
      <w:r>
        <w:t xml:space="preserve">This sample demonstrates the kinds of Markdown features that convert cleanly into a Word document with the included scripts and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.</w:t>
      </w:r>
    </w:p>
    <w:bookmarkStart w:id="11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Bold text for emphasis</w:t>
      </w:r>
    </w:p>
    <w:p>
      <w:pPr>
        <w:pStyle w:val="Compact"/>
        <w:numPr>
          <w:ilvl w:val="0"/>
          <w:numId w:val="1001"/>
        </w:numPr>
      </w:pPr>
      <w:r>
        <w:t xml:space="preserve">Italic text for nuance</w:t>
      </w:r>
    </w:p>
    <w:p>
      <w:pPr>
        <w:pStyle w:val="Compact"/>
        <w:numPr>
          <w:ilvl w:val="0"/>
          <w:numId w:val="1001"/>
        </w:numPr>
      </w:pPr>
      <w:r>
        <w:t xml:space="preserve">Inline code like</w:t>
      </w:r>
      <w:r>
        <w:t xml:space="preserve"> </w:t>
      </w:r>
      <w:r>
        <w:rPr>
          <w:rStyle w:val="VerbatimChar"/>
        </w:rPr>
        <w:t xml:space="preserve">pandoc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Links</w:t>
        </w:r>
      </w:hyperlink>
    </w:p>
    <w:p>
      <w:pPr>
        <w:pStyle w:val="Compact"/>
        <w:numPr>
          <w:ilvl w:val="0"/>
          <w:numId w:val="1001"/>
        </w:numPr>
      </w:pPr>
      <w:r>
        <w:t xml:space="preserve">Footnotes for supporting detail</w:t>
      </w:r>
      <w:r>
        <w:rPr>
          <w:rStyle w:val="FootnoteReference"/>
        </w:rPr>
        <w:footnoteReference w:id="10"/>
      </w:r>
    </w:p>
    <w:p>
      <w:pPr>
        <w:pStyle w:val="Compact"/>
        <w:numPr>
          <w:ilvl w:val="0"/>
          <w:numId w:val="1001"/>
        </w:numPr>
      </w:pPr>
      <w:r>
        <w:t xml:space="preserve">Custom callout blocks with Word styles</w:t>
      </w:r>
    </w:p>
    <w:bookmarkEnd w:id="11"/>
    <w:bookmarkStart w:id="12" w:name="status-table"/>
    <w:p>
      <w:pPr>
        <w:pStyle w:val="Heading2"/>
      </w:pPr>
      <w:r>
        <w:t xml:space="preserve">Status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outline</w:t>
            </w:r>
          </w:p>
        </w:tc>
        <w:tc>
          <w:tcPr/>
          <w:p>
            <w:pPr>
              <w:pStyle w:val="Compact"/>
            </w:pPr>
            <w:r>
              <w:t xml:space="preserve">Maya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Shared with the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review</w:t>
            </w:r>
          </w:p>
        </w:tc>
        <w:tc>
          <w:tcPr/>
          <w:p>
            <w:pPr>
              <w:pStyle w:val="Compact"/>
            </w:pPr>
            <w:r>
              <w:t xml:space="preserve">Omar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Waiting on GPU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polish</w:t>
            </w:r>
          </w:p>
        </w:tc>
        <w:tc>
          <w:tcPr/>
          <w:p>
            <w:pPr>
              <w:pStyle w:val="Compact"/>
            </w:pPr>
            <w:r>
              <w:t xml:space="preserve">Priya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Add screenshots and appendix</w:t>
            </w:r>
          </w:p>
        </w:tc>
      </w:tr>
    </w:tbl>
    <w:bookmarkEnd w:id="12"/>
    <w:bookmarkStart w:id="13" w:name="ordered-steps"/>
    <w:p>
      <w:pPr>
        <w:pStyle w:val="Heading2"/>
      </w:pPr>
      <w:r>
        <w:t xml:space="preserve">Ordered Steps</w:t>
      </w:r>
    </w:p>
    <w:p>
      <w:pPr>
        <w:pStyle w:val="Compact"/>
        <w:numPr>
          <w:ilvl w:val="0"/>
          <w:numId w:val="1002"/>
        </w:numPr>
      </w:pPr>
      <w:r>
        <w:t xml:space="preserve">Write the Markdown draft.</w:t>
      </w:r>
    </w:p>
    <w:p>
      <w:pPr>
        <w:pStyle w:val="Compact"/>
        <w:numPr>
          <w:ilvl w:val="0"/>
          <w:numId w:val="1002"/>
        </w:numPr>
      </w:pPr>
      <w:r>
        <w:t xml:space="preserve">Convert it to DOCX.</w:t>
      </w:r>
    </w:p>
    <w:p>
      <w:pPr>
        <w:pStyle w:val="Compact"/>
        <w:numPr>
          <w:ilvl w:val="0"/>
          <w:numId w:val="1002"/>
        </w:numPr>
      </w:pPr>
      <w:r>
        <w:t xml:space="preserve">Review the generated document in Word.</w:t>
      </w:r>
    </w:p>
    <w:p>
      <w:pPr>
        <w:pStyle w:val="Compact"/>
        <w:numPr>
          <w:ilvl w:val="0"/>
          <w:numId w:val="1002"/>
        </w:numPr>
      </w:pPr>
      <w:r>
        <w:t xml:space="preserve">Adjust</w:t>
      </w:r>
      <w:r>
        <w:t xml:space="preserve"> </w:t>
      </w:r>
      <w:r>
        <w:rPr>
          <w:rStyle w:val="VerbatimChar"/>
        </w:rPr>
        <w:t xml:space="preserve">skills/markdown-to-docx/scripts/reference.docx</w:t>
      </w:r>
      <w:r>
        <w:t xml:space="preserve"> </w:t>
      </w:r>
      <w:r>
        <w:t xml:space="preserve">if you want different styling.</w:t>
      </w:r>
    </w:p>
    <w:bookmarkEnd w:id="13"/>
    <w:bookmarkStart w:id="14" w:name="quote"/>
    <w:p>
      <w:pPr>
        <w:pStyle w:val="Heading2"/>
      </w:pPr>
      <w:r>
        <w:t xml:space="preserve">Quote</w:t>
      </w:r>
    </w:p>
    <w:p>
      <w:pPr>
        <w:pStyle w:val="BlockText"/>
      </w:pPr>
      <w:r>
        <w:t xml:space="preserve">The fastest way to improve a repeatable document workflow is to make the template and the conversion command boring and reliable.</w:t>
      </w:r>
    </w:p>
    <w:bookmarkEnd w:id="14"/>
    <w:bookmarkStart w:id="15" w:name="callout-styles"/>
    <w:p>
      <w:pPr>
        <w:pStyle w:val="Heading2"/>
      </w:pPr>
      <w:r>
        <w:t xml:space="preserve">Callout Styles</w:t>
      </w:r>
    </w:p>
    <w:p>
      <w:pPr>
        <w:pStyle w:val="Note"/>
      </w:pPr>
      <w:r>
        <w:rPr>
          <w:b/>
          <w:bCs/>
        </w:rPr>
        <w:t xml:space="preserve">Note:</w:t>
      </w:r>
      <w:r>
        <w:t xml:space="preserve"> </w:t>
      </w:r>
      <w:r>
        <w:t xml:space="preserve">This showcase includes a few callout blocks that use Pandoc’s</w:t>
      </w:r>
      <w:r>
        <w:t xml:space="preserve"> </w:t>
      </w:r>
      <w:r>
        <w:rPr>
          <w:rStyle w:val="VerbatimChar"/>
        </w:rPr>
        <w:t xml:space="preserve">custom-style</w:t>
      </w:r>
      <w:r>
        <w:t xml:space="preserve"> </w:t>
      </w:r>
      <w:r>
        <w:t xml:space="preserve">attribute.</w:t>
      </w:r>
      <w:r>
        <w:t xml:space="preserve"> </w:t>
      </w:r>
      <w:r>
        <w:t xml:space="preserve">Define matching styles in</w:t>
      </w:r>
      <w:r>
        <w:t xml:space="preserve"> </w:t>
      </w:r>
      <w:r>
        <w:rPr>
          <w:rStyle w:val="VerbatimChar"/>
        </w:rPr>
        <w:t xml:space="preserve">skills/markdown-to-docx/scripts/reference.docx</w:t>
      </w:r>
      <w:r>
        <w:t xml:space="preserve"> </w:t>
      </w:r>
      <w:r>
        <w:t xml:space="preserve">if you want them to stand out visually in Word.</w:t>
      </w:r>
      <w:r>
        <w:t xml:space="preserve"> </w:t>
      </w:r>
      <w:r>
        <w:t xml:space="preserve">Without those styles, the content still converts, but the callout may look like normal body text.</w:t>
      </w:r>
    </w:p>
    <w:p>
      <w:r>
        <w:pict>
          <v:rect style="width:0;height:1.5pt" o:hralign="center" o:hrstd="t" o:hr="t"/>
        </w:pict>
      </w:r>
    </w:p>
    <w:p>
      <w:pPr>
        <w:pStyle w:val="Tip"/>
      </w:pPr>
      <w:r>
        <w:rPr>
          <w:b/>
          <w:bCs/>
        </w:rPr>
        <w:t xml:space="preserve">Tip:</w:t>
      </w:r>
      <w:r>
        <w:t xml:space="preserve"> </w:t>
      </w:r>
      <w:r>
        <w:t xml:space="preserve">Keep each callout short enough to scan quickly in Word after conversion.</w:t>
      </w:r>
      <w:r>
        <w:t xml:space="preserve"> </w:t>
      </w:r>
      <w:r>
        <w:t xml:space="preserve">A bold lead-in works well when you want the first line to communicate the purpose immediately.</w:t>
      </w:r>
      <w:r>
        <w:t xml:space="preserve"> </w:t>
      </w:r>
      <w:r>
        <w:t xml:space="preserve">This pattern is useful for onboarding docs, handoff notes, and review checklists.</w:t>
      </w:r>
    </w:p>
    <w:p>
      <w:r>
        <w:pict>
          <v:rect style="width:0;height:1.5pt" o:hralign="center" o:hrstd="t" o:hr="t"/>
        </w:pict>
      </w:r>
    </w:p>
    <w:p>
      <w:pPr>
        <w:pStyle w:val="Important"/>
      </w:pPr>
      <w:r>
        <w:rPr>
          <w:b/>
          <w:bCs/>
        </w:rPr>
        <w:t xml:space="preserve">Important:</w:t>
      </w:r>
      <w:r>
        <w:t xml:space="preserve"> </w:t>
      </w:r>
      <w:r>
        <w:t xml:space="preserve">Custom styles are only as good as the reference document behind them.</w:t>
      </w:r>
      <w:r>
        <w:t xml:space="preserve"> </w:t>
      </w:r>
      <w:r>
        <w:t xml:space="preserve">If you rename a style in Word, update the Markdown examples so the</w:t>
      </w:r>
      <w:r>
        <w:t xml:space="preserve"> </w:t>
      </w:r>
      <w:r>
        <w:rPr>
          <w:rStyle w:val="VerbatimChar"/>
        </w:rPr>
        <w:t xml:space="preserve">custom-style</w:t>
      </w:r>
      <w:r>
        <w:t xml:space="preserve"> </w:t>
      </w:r>
      <w:r>
        <w:t xml:space="preserve">value still matches.</w:t>
      </w:r>
      <w:r>
        <w:t xml:space="preserve"> </w:t>
      </w:r>
      <w:r>
        <w:t xml:space="preserve">That keeps the generated DOCX consistent across machines and team members.</w:t>
      </w:r>
    </w:p>
    <w:p>
      <w:r>
        <w:pict>
          <v:rect style="width:0;height:1.5pt" o:hralign="center" o:hrstd="t" o:hr="t"/>
        </w:pict>
      </w:r>
    </w:p>
    <w:p>
      <w:pPr>
        <w:pStyle w:val="Warning"/>
      </w:pPr>
      <w:r>
        <w:rPr>
          <w:b/>
          <w:bCs/>
        </w:rPr>
        <w:t xml:space="preserve">Warning:</w:t>
      </w:r>
      <w:r>
        <w:t xml:space="preserve"> </w:t>
      </w:r>
      <w:r>
        <w:t xml:space="preserve">Wide tables, images, and long code blocks can still need a quick visual review in Word.</w:t>
      </w:r>
      <w:r>
        <w:t xml:space="preserve"> </w:t>
      </w:r>
      <w:r>
        <w:t xml:space="preserve">Pandoc handles most structure well, but layout-sensitive content is always worth checking after export.</w:t>
      </w:r>
      <w:r>
        <w:t xml:space="preserve"> </w:t>
      </w:r>
      <w:r>
        <w:t xml:space="preserve">Treat the generated DOCX as reliable output, not as something you should never proofread.</w:t>
      </w:r>
    </w:p>
    <w:p>
      <w:r>
        <w:pict>
          <v:rect style="width:0;height:1.5pt" o:hralign="center" o:hrstd="t" o:hr="t"/>
        </w:pict>
      </w:r>
    </w:p>
    <w:p>
      <w:pPr>
        <w:pStyle w:val="Risk"/>
      </w:pPr>
      <w:r>
        <w:rPr>
          <w:b/>
          <w:bCs/>
        </w:rPr>
        <w:t xml:space="preserve">Risk:</w:t>
      </w:r>
      <w:r>
        <w:t xml:space="preserve"> </w:t>
      </w:r>
      <w:r>
        <w:t xml:space="preserve">A custom callout style that exists only on one person’s machine can create confusing results for everyone else.</w:t>
      </w:r>
      <w:r>
        <w:t xml:space="preserve"> </w:t>
      </w:r>
      <w:r>
        <w:t xml:space="preserve">Store the shared look in</w:t>
      </w:r>
      <w:r>
        <w:t xml:space="preserve"> </w:t>
      </w:r>
      <w:r>
        <w:rPr>
          <w:rStyle w:val="VerbatimChar"/>
        </w:rPr>
        <w:t xml:space="preserve">skills/markdown-to-docx/scripts/reference.docx</w:t>
      </w:r>
      <w:r>
        <w:t xml:space="preserve"> </w:t>
      </w:r>
      <w:r>
        <w:t xml:space="preserve">so the repo stays the single source of truth.</w:t>
      </w:r>
      <w:r>
        <w:t xml:space="preserve"> </w:t>
      </w:r>
      <w:r>
        <w:t xml:space="preserve">That reduces drift between drafts and avoids last-minute formatting cleanup.</w:t>
      </w:r>
    </w:p>
    <w:p>
      <w:r>
        <w:pict>
          <v:rect style="width:0;height:1.5pt" o:hralign="center" o:hrstd="t" o:hr="t"/>
        </w:pict>
      </w:r>
    </w:p>
    <w:p>
      <w:pPr>
        <w:pStyle w:val="Caution"/>
      </w:pPr>
      <w:r>
        <w:rPr>
          <w:b/>
          <w:bCs/>
        </w:rPr>
        <w:t xml:space="preserve">Caution:</w:t>
      </w:r>
      <w:r>
        <w:t xml:space="preserve"> </w:t>
      </w:r>
      <w:r>
        <w:t xml:space="preserve">If you copy callouts from another Markdown flavor, verify that the syntax still works with Pandoc.</w:t>
      </w:r>
      <w:r>
        <w:t xml:space="preserve"> </w:t>
      </w:r>
      <w:r>
        <w:t xml:space="preserve">Some tools support admonitions differently, and not every fenced block format maps to DOCX the same way.</w:t>
      </w:r>
      <w:r>
        <w:t xml:space="preserve"> </w:t>
      </w:r>
      <w:r>
        <w:t xml:space="preserve">Using one consistent pattern in this repo makes the conversion workflow easier to trust.</w:t>
      </w:r>
    </w:p>
    <w:bookmarkEnd w:id="15"/>
    <w:bookmarkStart w:id="16" w:name="code-block"/>
    <w:p>
      <w:pPr>
        <w:pStyle w:val="Heading2"/>
      </w:pPr>
      <w:r>
        <w:t xml:space="preserve">Code Block</w:t>
      </w:r>
    </w:p>
    <w:p>
      <w:pPr>
        <w:pStyle w:val="SourceCode"/>
      </w:pPr>
      <w:r>
        <w:rPr>
          <w:rStyle w:val="ExtensionTok"/>
        </w:rPr>
        <w:t xml:space="preserve">./scripts/pandoc_md_to_docx.sh</w:t>
      </w:r>
      <w:r>
        <w:rPr>
          <w:rStyle w:val="NormalTok"/>
        </w:rPr>
        <w:t xml:space="preserve"> samples/showcase.md output/showcase.docx</w:t>
      </w:r>
    </w:p>
    <w:bookmarkEnd w:id="16"/>
    <w:bookmarkStart w:id="17" w:name="action-checklist"/>
    <w:p>
      <w:pPr>
        <w:pStyle w:val="Heading2"/>
      </w:pPr>
      <w:r>
        <w:t xml:space="preserve">Action Checklist</w:t>
      </w:r>
    </w:p>
    <w:p>
      <w:pPr>
        <w:pStyle w:val="Compact"/>
        <w:numPr>
          <w:ilvl w:val="0"/>
          <w:numId w:val="1003"/>
        </w:numPr>
      </w:pPr>
      <w:r>
        <w:t xml:space="preserve">Include headings</w:t>
      </w:r>
    </w:p>
    <w:p>
      <w:pPr>
        <w:pStyle w:val="Compact"/>
        <w:numPr>
          <w:ilvl w:val="0"/>
          <w:numId w:val="1004"/>
        </w:numPr>
      </w:pPr>
      <w:r>
        <w:t xml:space="preserve">Include a table</w:t>
      </w:r>
    </w:p>
    <w:p>
      <w:pPr>
        <w:pStyle w:val="Compact"/>
        <w:numPr>
          <w:ilvl w:val="0"/>
          <w:numId w:val="1005"/>
        </w:numPr>
      </w:pPr>
      <w:r>
        <w:t xml:space="preserve">Include a quote</w:t>
      </w:r>
    </w:p>
    <w:p>
      <w:pPr>
        <w:pStyle w:val="Compact"/>
        <w:numPr>
          <w:ilvl w:val="0"/>
          <w:numId w:val="1006"/>
        </w:numPr>
      </w:pPr>
      <w:r>
        <w:t xml:space="preserve">Include code</w:t>
      </w:r>
    </w:p>
    <w:p>
      <w:pPr>
        <w:pStyle w:val="Compact"/>
        <w:numPr>
          <w:ilvl w:val="0"/>
          <w:numId w:val="1007"/>
        </w:numPr>
      </w:pPr>
      <w:r>
        <w:t xml:space="preserve">Add your own project-specific template styles</w:t>
      </w:r>
    </w:p>
    <w:bookmarkEnd w:id="17"/>
    <w:bookmarkStart w:id="18" w:name="small-appendix"/>
    <w:p>
      <w:pPr>
        <w:pStyle w:val="Heading2"/>
      </w:pPr>
      <w:r>
        <w:t xml:space="preserve">Small Appendix</w:t>
      </w:r>
    </w:p>
    <w:p>
      <w:pPr>
        <w:pStyle w:val="FirstParagraph"/>
      </w:pPr>
      <w:r>
        <w:t xml:space="preserve">Here is a short paragraph that gives Word a little more structure to work with. Multi-paragraph sections, lists, and tables usually look best once the reference document has the fonts and spacing you want.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Pandoc carries footnotes into the generated Word document.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</w:pPr>
    <w:rPr>
      <w:rFonts w:ascii="Calibri" w:hAnsi="Calibri"/>
      <w:color w:val="1F2933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4" w:before="24" w:line="240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80" w:before="0" w:line="240" w:lineRule="auto"/>
      <w:keepNext/>
      <w:jc w:val="left"/>
    </w:pPr>
    <w:rPr>
      <w:rFonts w:ascii="Calibri Light" w:hAnsi="Calibri Light"/>
      <w:color w:val="123B6D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 Light" w:hAnsi="Calibri Light"/>
      <w:color w:val="123B6D"/>
      <w:sz w:val="40"/>
      <w:szCs w:val="40"/>
    </w:rPr>
  </w:style>
  <w:style w:styleId="Subtitle" w:type="paragraph">
    <w:name w:val="Subtitle"/>
    <w:basedOn w:val="BodyText"/>
    <w:next w:val="BodyText"/>
    <w:link w:val="SubtitleChar"/>
    <w:uiPriority w:val="11"/>
    <w:qFormat/>
    <w:rsid w:val="00A10FD9"/>
    <w:pPr>
      <w:spacing w:after="180" w:before="0"/>
      <w:keepNext/>
      <w:jc w:val="left"/>
    </w:pPr>
    <w:rPr>
      <w:rFonts w:ascii="Calibri" w:hAnsi="Calibri"/>
      <w:color w:val="52606D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Calibri" w:hAnsi="Calibri"/>
      <w:color w:val="52606D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320"/>
      <w:outlineLvl w:val="0"/>
    </w:pPr>
    <w:rPr>
      <w:rFonts w:ascii="Calibri Light" w:hAnsi="Calibri Light"/>
      <w:b/>
      <w:color w:val="123B6D"/>
      <w:sz w:val="34"/>
      <w:szCs w:val="3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20"/>
      <w:outlineLvl w:val="1"/>
    </w:pPr>
    <w:rPr>
      <w:rFonts w:ascii="Calibri" w:hAnsi="Calibri"/>
      <w:b/>
      <w:color w:val="123B6D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80"/>
      <w:outlineLvl w:val="2"/>
    </w:pPr>
    <w:rPr>
      <w:rFonts w:ascii="Calibri" w:hAnsi="Calibri"/>
      <w:b/>
      <w:color w:val="355D8A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b/>
      <w:bCs/>
      <w:color w:val="5B3F8C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b/>
      <w:bCs/>
      <w:color w:val="5B3F8C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D9E2EC" w:space="0" w:sz="4" w:val="single"/>
        <w:left w:color="D9E2EC" w:space="0" w:sz="4" w:val="single"/>
        <w:bottom w:color="D9E2EC" w:space="0" w:sz="4" w:val="single"/>
        <w:right w:color="D9E2EC" w:space="0" w:sz="4" w:val="single"/>
        <w:insideH w:color="D9E2EC" w:space="0" w:sz="4" w:val="single"/>
        <w:insideV w:color="D9E2EC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color w:val="123B6D"/>
        <w:b/>
      </w:rPr>
      <w:tcPr>
        <w:tcBorders>
          <w:bottom w:val="single"/>
        </w:tcBorders>
        <w:shd w:color="auto" w:fill="E8F1FB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BodyText"/>
    <w:link w:val="BodyTextChar"/>
    <w:pPr>
      <w:spacing w:after="120" w:before="60"/>
    </w:pPr>
    <w:rPr>
      <w:color w:val="52606D"/>
      <w:i/>
      <w:sz w:val="20"/>
      <w:szCs w:val="20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color w:val="0B1F33"/>
      <w:shd w:color="auto" w:fill="EEF4FB" w:val="clear"/>
      <w:sz w:val="22"/>
    </w:rPr>
  </w:style>
  <w:style w:customStyle="1" w:styleId="SourceCode" w:type="paragraph">
    <w:name w:val="Source Code"/>
    <w:basedOn w:val="Normal"/>
    <w:link w:val="VerbatimChar"/>
    <w:pPr>
      <w:shd w:color="auto" w:fill="EEF4FB" w:val="clear"/>
      <w:wordWrap w:val="off"/>
    </w:pPr>
    <w:rPr>
      <w:rFonts w:ascii="Courier New" w:hAnsi="Courier New"/>
      <w:color w:val="0B1F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20" w:before="180" w:line="259" w:lineRule="auto"/>
      <w:outlineLvl w:val="9"/>
    </w:pPr>
    <w:rPr>
      <w:rFonts w:ascii="Calibri Light" w:hAnsi="Calibri Light"/>
      <w:b w:val="0"/>
      <w:bCs w:val="0"/>
      <w:color w:val="123B6D"/>
      <w:sz w:val="30"/>
      <w:szCs w:val="30"/>
    </w:rPr>
  </w:style>
  <w:style w:customStyle="1" w:styleId="InfoBox" w:type="paragraph">
    <w:name w:val="InfoBox"/>
    <w:basedOn w:val="BodyText"/>
    <w:pPr>
      <w:spacing w:after="120" w:before="0"/>
      <w:ind w:left="240"/>
      <w:shd w:color="auto" w:fill="EAF2FF" w:val="clear"/>
      <w:pBdr>
        <w:left w:color="3B82F6" w:space="0" w:sz="18" w:val="single"/>
      </w:pBdr>
    </w:pPr>
    <w:rPr>
      <w:color w:val="0F172A"/>
    </w:rPr>
  </w:style>
  <w:style w:customStyle="1" w:styleId="Note" w:type="paragraph">
    <w:name w:val="Note"/>
    <w:basedOn w:val="BodyText"/>
    <w:pPr>
      <w:spacing w:after="0" w:before="0"/>
      <w:ind w:left="240"/>
      <w:shd w:color="auto" w:fill="EFF6FF" w:val="clear"/>
      <w:pBdr>
        <w:left w:color="2563EB" w:space="0" w:sz="12" w:val="single"/>
      </w:pBdr>
    </w:pPr>
    <w:rPr>
      <w:color w:val="1F2933"/>
    </w:rPr>
  </w:style>
  <w:style w:customStyle="1" w:styleId="Tip" w:type="paragraph">
    <w:name w:val="Tip"/>
    <w:basedOn w:val="BodyText"/>
    <w:pPr>
      <w:spacing w:after="0" w:before="0"/>
      <w:ind w:left="240"/>
      <w:shd w:color="auto" w:fill="F0FDF4" w:val="clear"/>
      <w:pBdr>
        <w:left w:color="16A34A" w:space="0" w:sz="12" w:val="single"/>
      </w:pBdr>
    </w:pPr>
    <w:rPr>
      <w:color w:val="1F2933"/>
    </w:rPr>
  </w:style>
  <w:style w:customStyle="1" w:styleId="Important" w:type="paragraph">
    <w:name w:val="Important"/>
    <w:basedOn w:val="BodyText"/>
    <w:pPr>
      <w:spacing w:after="0" w:before="0"/>
      <w:ind w:left="240"/>
      <w:shd w:color="auto" w:fill="FEF3C7" w:val="clear"/>
      <w:pBdr>
        <w:left w:color="CA8A04" w:space="0" w:sz="12" w:val="single"/>
      </w:pBdr>
    </w:pPr>
    <w:rPr>
      <w:color w:val="1F2933"/>
    </w:rPr>
  </w:style>
  <w:style w:customStyle="1" w:styleId="Warning" w:type="paragraph">
    <w:name w:val="Warning"/>
    <w:basedOn w:val="BodyText"/>
    <w:pPr>
      <w:spacing w:after="0" w:before="0"/>
      <w:ind w:left="240"/>
      <w:shd w:color="auto" w:fill="FFF7ED" w:val="clear"/>
      <w:pBdr>
        <w:left w:color="EA580C" w:space="0" w:sz="12" w:val="single"/>
      </w:pBdr>
    </w:pPr>
    <w:rPr>
      <w:color w:val="1F2933"/>
    </w:rPr>
  </w:style>
  <w:style w:customStyle="1" w:styleId="Caution" w:type="paragraph">
    <w:name w:val="Caution"/>
    <w:basedOn w:val="BodyText"/>
    <w:pPr>
      <w:spacing w:after="0" w:before="0"/>
      <w:ind w:left="240"/>
      <w:shd w:color="auto" w:fill="FEF2F2" w:val="clear"/>
      <w:pBdr>
        <w:left w:color="DC2626" w:space="0" w:sz="12" w:val="single"/>
      </w:pBdr>
    </w:pPr>
    <w:rPr>
      <w:color w:val="1F2933"/>
    </w:rPr>
  </w:style>
  <w:style w:customStyle="1" w:styleId="Decision" w:type="paragraph">
    <w:name w:val="Decision"/>
    <w:basedOn w:val="BodyText"/>
    <w:pPr>
      <w:spacing w:after="0" w:before="0"/>
      <w:ind w:left="240"/>
      <w:shd w:color="auto" w:fill="EEF7F0" w:val="clear"/>
      <w:pBdr>
        <w:left w:color="2F855A" w:space="0" w:sz="12" w:val="single"/>
      </w:pBdr>
    </w:pPr>
    <w:rPr>
      <w:color w:val="1F2933"/>
    </w:rPr>
  </w:style>
  <w:style w:customStyle="1" w:styleId="Risk" w:type="paragraph">
    <w:name w:val="Risk"/>
    <w:basedOn w:val="BodyText"/>
    <w:pPr>
      <w:spacing w:after="0" w:before="0"/>
      <w:ind w:left="240"/>
      <w:shd w:color="auto" w:fill="FFF7E8" w:val="clear"/>
      <w:pBdr>
        <w:left w:color="D97706" w:space="0" w:sz="12" w:val="single"/>
      </w:pBdr>
    </w:pPr>
    <w:rPr>
      <w:color w:val="1F2933"/>
    </w:rPr>
  </w:style>
  <w:style w:customStyle="1" w:styleId="OpenQuestion" w:type="paragraph">
    <w:name w:val="Open Question"/>
    <w:basedOn w:val="BodyText"/>
    <w:pPr>
      <w:spacing w:after="0" w:before="0"/>
      <w:ind w:left="240"/>
      <w:shd w:color="auto" w:fill="F5F3FF" w:val="clear"/>
      <w:pBdr>
        <w:left w:color="6B46C1" w:space="0" w:sz="12" w:val="single"/>
      </w:pBdr>
    </w:pPr>
    <w:rPr>
      <w:color w:val="1F2933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andoc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andoc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2026-04-20T19:17:41Z</dcterms:created>
  <dcterms:modified xsi:type="dcterms:W3CDTF">2026-04-20T19:17:41Z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