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入门课第二次作业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下面哪个说法是正确的？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独立屋（SFR）都没有HOA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买房一定要有经纪人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双重代理在所以的州都是不允许的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d. 投资房可以折旧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回答： 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关于Short Sale 的说法哪个是正确的：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短时间卖房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卖房不收手续费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不用经纪人直接卖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d. 卖价低于所欠贷款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回答 ： 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房主不还贷款会怎样？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a. Foreclose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b. Refinance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c. Depreciate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d. Appreciate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回答： 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下面哪个现金买房的说法是不正确的？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贷款买了十个房子后，就不能贷款买房了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贷款买了十个房子后，可以借商业贷款买房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Flip 房子可用Hard Money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d. Flip 房子可用私人贷款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回答： 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卖房的利润超过以下时间就按Capital Gain 交税？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6 个月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一年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一年半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d. 两年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回答： b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以下哪条是正确的？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HELOC 利率是固定的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b. HELOC 用钱的时候才算利息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c. FHA 贷款要20%以上首期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d. Hard Money 从来不查信用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回答： 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作业：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用上面列举的4 个网站去做一个自己居住城市的房地产一个小小的市场报告， 人口/工作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的变化等，并判断属于ABCD 区哪一种。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从数据了解：从2010年到2019年人口增长6.5%，白人占50%，50%以上人口拥有本科学历。2018年每户收入中数$67.9k. 2020年房价中数$343.6k. 学区中上等。社会治安好。没有找到工作变化数据。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本人了解的情况，当地有不错的私人学校，弥补公立学校不足。当地新房少，有少数新的联排开发。房龄一般至少有十年。大多数是1960s 到2000s 开发的。最近几年有许多从外地及国外来的的年轻员工。目前正在扩建开发mall 周围的商业区。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社会治安属于A区，房子属于B区状况。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原始数据如下：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hd w:fill="ffffff" w:val="clear"/>
        <w:spacing w:after="120" w:before="0" w:lineRule="auto"/>
        <w:rPr>
          <w:rFonts w:ascii="Roboto" w:cs="Roboto" w:eastAsia="Roboto" w:hAnsi="Roboto"/>
          <w:b w:val="1"/>
          <w:color w:val="3b4144"/>
        </w:rPr>
      </w:pPr>
      <w:bookmarkStart w:colFirst="0" w:colLast="0" w:name="_sjxbuzhsxf4m" w:id="0"/>
      <w:bookmarkEnd w:id="0"/>
      <w:r w:rsidDel="00000000" w:rsidR="00000000" w:rsidRPr="00000000">
        <w:rPr>
          <w:rFonts w:ascii="Roboto" w:cs="Roboto" w:eastAsia="Roboto" w:hAnsi="Roboto"/>
          <w:b w:val="1"/>
          <w:color w:val="3b4144"/>
          <w:rtl w:val="0"/>
        </w:rPr>
        <w:t xml:space="preserve">Trulia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hd w:fill="ffffff" w:val="clear"/>
        <w:spacing w:after="120" w:before="0" w:lineRule="auto"/>
        <w:rPr>
          <w:rFonts w:ascii="Roboto" w:cs="Roboto" w:eastAsia="Roboto" w:hAnsi="Roboto"/>
          <w:b w:val="1"/>
          <w:color w:val="3b4144"/>
        </w:rPr>
      </w:pPr>
      <w:bookmarkStart w:colFirst="0" w:colLast="0" w:name="_yq1b3i6lcht5" w:id="1"/>
      <w:bookmarkEnd w:id="1"/>
      <w:r w:rsidDel="00000000" w:rsidR="00000000" w:rsidRPr="00000000">
        <w:rPr>
          <w:rFonts w:ascii="Roboto" w:cs="Roboto" w:eastAsia="Roboto" w:hAnsi="Roboto"/>
          <w:b w:val="1"/>
          <w:color w:val="3b4144"/>
          <w:rtl w:val="0"/>
        </w:rPr>
        <w:t xml:space="preserve">Affordability of Living in Peachtree Corners, GA</w:t>
      </w:r>
    </w:p>
    <w:p w:rsidR="00000000" w:rsidDel="00000000" w:rsidP="00000000" w:rsidRDefault="00000000" w:rsidRPr="00000000" w14:paraId="00000040">
      <w:pPr>
        <w:shd w:fill="ffffff" w:val="clear"/>
        <w:ind w:left="120" w:firstLine="0"/>
        <w:rPr>
          <w:rFonts w:ascii="Roboto" w:cs="Roboto" w:eastAsia="Roboto" w:hAnsi="Roboto"/>
          <w:color w:val="3b41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b4144"/>
          <w:sz w:val="24"/>
          <w:szCs w:val="24"/>
          <w:rtl w:val="0"/>
        </w:rPr>
        <w:t xml:space="preserve">This area had 193 homes for sale last month</w:t>
      </w:r>
    </w:p>
    <w:p w:rsidR="00000000" w:rsidDel="00000000" w:rsidP="00000000" w:rsidRDefault="00000000" w:rsidRPr="00000000" w14:paraId="00000041">
      <w:pPr>
        <w:shd w:fill="ffffff" w:val="clear"/>
        <w:ind w:left="120" w:right="120" w:firstLine="0"/>
        <w:rPr>
          <w:rFonts w:ascii="Roboto" w:cs="Roboto" w:eastAsia="Roboto" w:hAnsi="Roboto"/>
          <w:color w:val="3b41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b4144"/>
          <w:sz w:val="24"/>
          <w:szCs w:val="24"/>
          <w:rtl w:val="0"/>
        </w:rPr>
        <w:t xml:space="preserve">The median sales price is $343,600</w:t>
      </w:r>
    </w:p>
    <w:p w:rsidR="00000000" w:rsidDel="00000000" w:rsidP="00000000" w:rsidRDefault="00000000" w:rsidRPr="00000000" w14:paraId="00000042">
      <w:pPr>
        <w:shd w:fill="ffffff" w:val="clear"/>
        <w:ind w:left="120" w:right="120" w:firstLine="0"/>
        <w:rPr>
          <w:rFonts w:ascii="Roboto" w:cs="Roboto" w:eastAsia="Roboto" w:hAnsi="Roboto"/>
          <w:color w:val="3b41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b4144"/>
          <w:sz w:val="24"/>
          <w:szCs w:val="24"/>
        </w:rPr>
        <w:drawing>
          <wp:inline distB="114300" distT="114300" distL="114300" distR="114300">
            <wp:extent cx="5943600" cy="2374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ind w:left="120" w:right="120" w:firstLine="0"/>
        <w:rPr>
          <w:rFonts w:ascii="Roboto" w:cs="Roboto" w:eastAsia="Roboto" w:hAnsi="Roboto"/>
          <w:color w:val="3b41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b4144"/>
          <w:sz w:val="24"/>
          <w:szCs w:val="24"/>
          <w:rtl w:val="0"/>
        </w:rPr>
        <w:t xml:space="preserve">Homes are typically worth $142/sqft</w:t>
      </w:r>
    </w:p>
    <w:p w:rsidR="00000000" w:rsidDel="00000000" w:rsidP="00000000" w:rsidRDefault="00000000" w:rsidRPr="00000000" w14:paraId="00000044">
      <w:pPr>
        <w:shd w:fill="ffffff" w:val="clear"/>
        <w:ind w:left="120" w:right="120" w:firstLine="0"/>
        <w:rPr>
          <w:rFonts w:ascii="Roboto" w:cs="Roboto" w:eastAsia="Roboto" w:hAnsi="Roboto"/>
          <w:color w:val="3b4144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b4144"/>
          <w:sz w:val="24"/>
          <w:szCs w:val="24"/>
        </w:rPr>
        <w:drawing>
          <wp:inline distB="114300" distT="114300" distL="114300" distR="114300">
            <wp:extent cx="5943600" cy="2425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rPr>
          <w:rFonts w:ascii="Roboto" w:cs="Roboto" w:eastAsia="Roboto" w:hAnsi="Roboto"/>
          <w:color w:val="3b41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USA.com/rank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30092 zip code has 10.97 square miles of land area and 0.19 square miles of water area. As of 2010-2014, the total 30092 zip code population is 33,080, which has shrunk 5.88% since 2000. The population growth rate is much lower than the state average rate of 21.03% and is much lower than the national average rate of 11.61%. 30092 zip code median household income is $61,683 in 2010-2014 and has grown by 3.40% since 2000. The income growth rate is much lower than the state average rate of 16.28% and is much lower than the national average rate of 27.36%. 30092 zip code median house value is $274,700 in 2010-2014 and has grown by 18.97% since 2000. The house value growth rate is much lower than the state average rate of 33.09% and is much lower than the national average rate of 46.91%. As a reference, the national Consumer Price Index (CPI) inflation rate for the same period is 26.63%. On average, the public school district that covers 30092 zip code is much better than the state average in quality. </w:t>
      </w:r>
    </w:p>
    <w:p w:rsidR="00000000" w:rsidDel="00000000" w:rsidP="00000000" w:rsidRDefault="00000000" w:rsidRPr="00000000" w14:paraId="0000004A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5"/>
        <w:gridCol w:w="6185"/>
        <w:tblGridChange w:id="0">
          <w:tblGrid>
            <w:gridCol w:w="2975"/>
            <w:gridCol w:w="618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Population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hyperlink r:id="rId8">
              <w:r w:rsidDel="00000000" w:rsidR="00000000" w:rsidRPr="00000000">
                <w:rPr>
                  <w:color w:val="1174bc"/>
                  <w:sz w:val="18"/>
                  <w:szCs w:val="18"/>
                  <w:highlight w:val="white"/>
                  <w:u w:val="single"/>
                  <w:rtl w:val="0"/>
                </w:rPr>
                <w:t xml:space="preserve">33,080 (2010-2014)</w:t>
              </w:r>
            </w:hyperlink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, rank </w:t>
            </w:r>
            <w:hyperlink r:id="rId9">
              <w:r w:rsidDel="00000000" w:rsidR="00000000" w:rsidRPr="00000000">
                <w:rPr>
                  <w:color w:val="1174bc"/>
                  <w:sz w:val="18"/>
                  <w:szCs w:val="18"/>
                  <w:highlight w:val="white"/>
                  <w:u w:val="single"/>
                  <w:rtl w:val="0"/>
                </w:rPr>
                <w:t xml:space="preserve">#104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Population Growth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hyperlink r:id="rId10">
              <w:r w:rsidDel="00000000" w:rsidR="00000000" w:rsidRPr="00000000">
                <w:rPr>
                  <w:color w:val="1174bc"/>
                  <w:sz w:val="18"/>
                  <w:szCs w:val="18"/>
                  <w:highlight w:val="white"/>
                  <w:u w:val="single"/>
                  <w:rtl w:val="0"/>
                </w:rPr>
                <w:t xml:space="preserve">-5.88% since 2000</w:t>
              </w:r>
            </w:hyperlink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, rank </w:t>
            </w:r>
            <w:hyperlink r:id="rId11">
              <w:r w:rsidDel="00000000" w:rsidR="00000000" w:rsidRPr="00000000">
                <w:rPr>
                  <w:color w:val="1174bc"/>
                  <w:sz w:val="18"/>
                  <w:szCs w:val="18"/>
                  <w:highlight w:val="white"/>
                  <w:u w:val="single"/>
                  <w:rtl w:val="0"/>
                </w:rPr>
                <w:t xml:space="preserve">#531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Population Density: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hyperlink r:id="rId12">
              <w:r w:rsidDel="00000000" w:rsidR="00000000" w:rsidRPr="00000000">
                <w:rPr>
                  <w:color w:val="1174bc"/>
                  <w:sz w:val="18"/>
                  <w:szCs w:val="18"/>
                  <w:highlight w:val="white"/>
                  <w:u w:val="single"/>
                  <w:rtl w:val="0"/>
                </w:rPr>
                <w:t xml:space="preserve">2,966.59/sq mi</w:t>
              </w:r>
            </w:hyperlink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, rank </w:t>
            </w:r>
            <w:hyperlink r:id="rId13">
              <w:r w:rsidDel="00000000" w:rsidR="00000000" w:rsidRPr="00000000">
                <w:rPr>
                  <w:color w:val="1174bc"/>
                  <w:sz w:val="18"/>
                  <w:szCs w:val="18"/>
                  <w:highlight w:val="white"/>
                  <w:u w:val="single"/>
                  <w:rtl w:val="0"/>
                </w:rPr>
                <w:t xml:space="preserve">#53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Median Household Income: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hyperlink r:id="rId14">
              <w:r w:rsidDel="00000000" w:rsidR="00000000" w:rsidRPr="00000000">
                <w:rPr>
                  <w:color w:val="1174bc"/>
                  <w:sz w:val="18"/>
                  <w:szCs w:val="18"/>
                  <w:highlight w:val="white"/>
                  <w:u w:val="single"/>
                  <w:rtl w:val="0"/>
                </w:rPr>
                <w:t xml:space="preserve">$61,683 at 2010-2014—3.40% increase since 2000</w:t>
              </w:r>
            </w:hyperlink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, </w:t>
            </w:r>
            <w:hyperlink r:id="rId15">
              <w:r w:rsidDel="00000000" w:rsidR="00000000" w:rsidRPr="00000000">
                <w:rPr>
                  <w:color w:val="1174bc"/>
                  <w:sz w:val="18"/>
                  <w:szCs w:val="18"/>
                  <w:highlight w:val="white"/>
                  <w:u w:val="single"/>
                  <w:rtl w:val="0"/>
                </w:rPr>
                <w:t xml:space="preserve">see rank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Median House Price: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hyperlink r:id="rId16">
              <w:r w:rsidDel="00000000" w:rsidR="00000000" w:rsidRPr="00000000">
                <w:rPr>
                  <w:color w:val="1174bc"/>
                  <w:sz w:val="18"/>
                  <w:szCs w:val="18"/>
                  <w:highlight w:val="white"/>
                  <w:u w:val="single"/>
                  <w:rtl w:val="0"/>
                </w:rPr>
                <w:t xml:space="preserve">$274,700 at 2010-2014—18.97% increase since 2000</w:t>
              </w:r>
            </w:hyperlink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1174bc"/>
                  <w:sz w:val="18"/>
                  <w:szCs w:val="18"/>
                  <w:highlight w:val="white"/>
                  <w:u w:val="single"/>
                  <w:rtl w:val="0"/>
                </w:rPr>
                <w:t xml:space="preserve">see rank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Time Zone: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Eastern GMT -5:00 with Daylight Saving in the Summer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Land Area: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10.97 sq mi, rank </w:t>
            </w:r>
            <w:hyperlink r:id="rId18">
              <w:r w:rsidDel="00000000" w:rsidR="00000000" w:rsidRPr="00000000">
                <w:rPr>
                  <w:color w:val="1174bc"/>
                  <w:sz w:val="18"/>
                  <w:szCs w:val="18"/>
                  <w:highlight w:val="white"/>
                  <w:u w:val="single"/>
                  <w:rtl w:val="0"/>
                </w:rPr>
                <w:t xml:space="preserve">#615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Water Area: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0.19 sq mi (1.66%), rank </w:t>
            </w:r>
            <w:hyperlink r:id="rId19">
              <w:r w:rsidDel="00000000" w:rsidR="00000000" w:rsidRPr="00000000">
                <w:rPr>
                  <w:color w:val="1174bc"/>
                  <w:sz w:val="18"/>
                  <w:szCs w:val="18"/>
                  <w:highlight w:val="white"/>
                  <w:u w:val="single"/>
                  <w:rtl w:val="0"/>
                </w:rPr>
                <w:t xml:space="preserve">#531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State: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hyperlink r:id="rId20">
              <w:r w:rsidDel="00000000" w:rsidR="00000000" w:rsidRPr="00000000">
                <w:rPr>
                  <w:color w:val="1174bc"/>
                  <w:sz w:val="18"/>
                  <w:szCs w:val="18"/>
                  <w:highlight w:val="white"/>
                  <w:u w:val="single"/>
                  <w:rtl w:val="0"/>
                </w:rPr>
                <w:t xml:space="preserve">Georgia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Area: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hyperlink r:id="rId21">
              <w:r w:rsidDel="00000000" w:rsidR="00000000" w:rsidRPr="00000000">
                <w:rPr>
                  <w:color w:val="1174bc"/>
                  <w:sz w:val="18"/>
                  <w:szCs w:val="18"/>
                  <w:highlight w:val="white"/>
                  <w:u w:val="single"/>
                  <w:rtl w:val="0"/>
                </w:rPr>
                <w:t xml:space="preserve">Atlanta-Sandy Springs-Marietta, GA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Counties: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hyperlink r:id="rId22">
              <w:r w:rsidDel="00000000" w:rsidR="00000000" w:rsidRPr="00000000">
                <w:rPr>
                  <w:color w:val="1174bc"/>
                  <w:sz w:val="18"/>
                  <w:szCs w:val="18"/>
                  <w:highlight w:val="white"/>
                  <w:u w:val="single"/>
                  <w:rtl w:val="0"/>
                </w:rPr>
                <w:t xml:space="preserve">Gwinnett County</w:t>
              </w:r>
            </w:hyperlink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, </w:t>
            </w:r>
            <w:hyperlink r:id="rId23">
              <w:r w:rsidDel="00000000" w:rsidR="00000000" w:rsidRPr="00000000">
                <w:rPr>
                  <w:color w:val="1174bc"/>
                  <w:sz w:val="18"/>
                  <w:szCs w:val="18"/>
                  <w:highlight w:val="white"/>
                  <w:u w:val="single"/>
                  <w:rtl w:val="0"/>
                </w:rPr>
                <w:t xml:space="preserve">Fulton County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City: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hyperlink r:id="rId24">
              <w:r w:rsidDel="00000000" w:rsidR="00000000" w:rsidRPr="00000000">
                <w:rPr>
                  <w:color w:val="1174bc"/>
                  <w:sz w:val="18"/>
                  <w:szCs w:val="18"/>
                  <w:highlight w:val="white"/>
                  <w:u w:val="single"/>
                  <w:rtl w:val="0"/>
                </w:rPr>
                <w:t xml:space="preserve">Norcross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School District: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</w:rPr>
              <w:drawing>
                <wp:inline distB="114300" distT="114300" distL="114300" distR="114300">
                  <wp:extent cx="600075" cy="114300"/>
                  <wp:effectExtent b="0" l="0" r="0" t="0"/>
                  <wp:docPr id="3" name="image1.gif"/>
                  <a:graphic>
                    <a:graphicData uri="http://schemas.openxmlformats.org/drawingml/2006/picture">
                      <pic:pic>
                        <pic:nvPicPr>
                          <pic:cNvPr id="0" name="image1.gif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075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, rank </w:t>
            </w:r>
            <w:hyperlink r:id="rId26">
              <w:r w:rsidDel="00000000" w:rsidR="00000000" w:rsidRPr="00000000">
                <w:rPr>
                  <w:color w:val="1174bc"/>
                  <w:sz w:val="18"/>
                  <w:szCs w:val="18"/>
                  <w:highlight w:val="white"/>
                  <w:u w:val="single"/>
                  <w:rtl w:val="0"/>
                </w:rPr>
                <w:t xml:space="preserve">#280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Censuc.gov/quickfacts</w:t>
      </w:r>
    </w:p>
    <w:p w:rsidR="00000000" w:rsidDel="00000000" w:rsidP="00000000" w:rsidRDefault="00000000" w:rsidRPr="00000000" w14:paraId="0000006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5.717647058824"/>
        <w:gridCol w:w="2477.6470588235297"/>
        <w:gridCol w:w="2466.635294117647"/>
        <w:tblGridChange w:id="0">
          <w:tblGrid>
            <w:gridCol w:w="4415.717647058824"/>
            <w:gridCol w:w="2477.6470588235297"/>
            <w:gridCol w:w="2466.635294117647"/>
          </w:tblGrid>
        </w:tblGridChange>
      </w:tblGrid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e5f4f6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5.45454545454547" w:lineRule="auto"/>
              <w:rPr>
                <w:b w:val="1"/>
                <w:color w:val="4b636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4b636e"/>
                <w:sz w:val="18"/>
                <w:szCs w:val="18"/>
                <w:highlight w:val="white"/>
                <w:rtl w:val="0"/>
              </w:rPr>
              <w:t xml:space="preserve">All Topics Population Age and Sex Race and Hispanic Origin Population Characteristics Housing Families &amp; Living Arrangements Computer and Internet Use Education Health Economy Transportation Income &amp; Poverty Businesses Geography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e5f4f6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00" w:lineRule="auto"/>
              <w:rPr>
                <w:b w:val="1"/>
                <w:color w:val="4b636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4b636e"/>
                <w:sz w:val="18"/>
                <w:szCs w:val="18"/>
                <w:highlight w:val="white"/>
                <w:rtl w:val="0"/>
              </w:rPr>
              <w:t xml:space="preserve">Peachtree Corners city, Georgia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e5f4f6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00" w:lineRule="auto"/>
              <w:rPr>
                <w:b w:val="1"/>
                <w:color w:val="4b636e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4b636e"/>
                <w:sz w:val="18"/>
                <w:szCs w:val="18"/>
                <w:highlight w:val="white"/>
                <w:rtl w:val="0"/>
              </w:rPr>
              <w:t xml:space="preserve">United States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60.0" w:type="dxa"/>
              <w:left w:w="4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Population estimates, July 1, 2019, (V2019)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43,905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328,239,523</w:t>
            </w:r>
          </w:p>
        </w:tc>
      </w:tr>
    </w:tbl>
    <w:p w:rsidR="00000000" w:rsidDel="00000000" w:rsidP="00000000" w:rsidRDefault="00000000" w:rsidRPr="00000000" w14:paraId="00000070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5.717647058824"/>
        <w:gridCol w:w="2477.6470588235297"/>
        <w:gridCol w:w="2466.635294117647"/>
        <w:tblGridChange w:id="0">
          <w:tblGrid>
            <w:gridCol w:w="4415.717647058824"/>
            <w:gridCol w:w="2477.6470588235297"/>
            <w:gridCol w:w="2466.635294117647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Population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Population estimates, July 1, 2019, (V2019)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43,905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328,239,523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Population estimates base, April 1, 2010, (V2019)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38,014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308,758,105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Population, percent change - April 1, 2010 (estimates base) to July 1, 2019, (V2019)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15.5%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6.3%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Population, Census, April 1, 2010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hyperlink r:id="rId27">
              <w:r w:rsidDel="00000000" w:rsidR="00000000" w:rsidRPr="00000000">
                <w:rPr>
                  <w:color w:val="337ab7"/>
                  <w:sz w:val="18"/>
                  <w:szCs w:val="18"/>
                  <w:highlight w:val="white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308,745,538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Age and Sex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Persons under 5 years, percent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6.7%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6.0%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Persons under 18 years, percent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23.9%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22.3%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Persons 65 years and over, percent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10.9%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16.5%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Female persons, percent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50.0%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50.8%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Race and Hispanic Origin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White alone, percent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57.8%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76.3%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5.45454545454547" w:lineRule="auto"/>
              <w:ind w:left="220" w:firstLine="0"/>
              <w:rPr>
                <w:color w:val="0095a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Black or African American alone, percent</w:t>
            </w:r>
            <w:hyperlink r:id="rId28">
              <w:r w:rsidDel="00000000" w:rsidR="00000000" w:rsidRPr="00000000">
                <w:rPr>
                  <w:color w:val="0095a8"/>
                  <w:sz w:val="18"/>
                  <w:szCs w:val="18"/>
                  <w:highlight w:val="white"/>
                  <w:rtl w:val="0"/>
                </w:rPr>
                <w:t xml:space="preserve">(a)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22.9%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13.4%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5.45454545454547" w:lineRule="auto"/>
              <w:ind w:left="220" w:firstLine="0"/>
              <w:rPr>
                <w:color w:val="0095a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American Indian and Alaska Native alone, percent</w:t>
            </w:r>
            <w:hyperlink r:id="rId29">
              <w:r w:rsidDel="00000000" w:rsidR="00000000" w:rsidRPr="00000000">
                <w:rPr>
                  <w:color w:val="0095a8"/>
                  <w:sz w:val="18"/>
                  <w:szCs w:val="18"/>
                  <w:highlight w:val="white"/>
                  <w:rtl w:val="0"/>
                </w:rPr>
                <w:t xml:space="preserve">(a)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0.2%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1.3%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5.45454545454547" w:lineRule="auto"/>
              <w:ind w:left="220" w:firstLine="0"/>
              <w:rPr>
                <w:color w:val="0095a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Asian alone, percent</w:t>
            </w:r>
            <w:hyperlink r:id="rId30">
              <w:r w:rsidDel="00000000" w:rsidR="00000000" w:rsidRPr="00000000">
                <w:rPr>
                  <w:color w:val="0095a8"/>
                  <w:sz w:val="18"/>
                  <w:szCs w:val="18"/>
                  <w:highlight w:val="white"/>
                  <w:rtl w:val="0"/>
                </w:rPr>
                <w:t xml:space="preserve">(a)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9.6%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5.9%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5.45454545454547" w:lineRule="auto"/>
              <w:ind w:left="220" w:firstLine="0"/>
              <w:rPr>
                <w:color w:val="0095a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Native Hawaiian and Other Pacific Islander alone, percent</w:t>
            </w:r>
            <w:hyperlink r:id="rId31">
              <w:r w:rsidDel="00000000" w:rsidR="00000000" w:rsidRPr="00000000">
                <w:rPr>
                  <w:color w:val="0095a8"/>
                  <w:sz w:val="18"/>
                  <w:szCs w:val="18"/>
                  <w:highlight w:val="white"/>
                  <w:rtl w:val="0"/>
                </w:rPr>
                <w:t xml:space="preserve">(a)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0.0%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0.2%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Two or More Races, percent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2.4%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2.8%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5.45454545454547" w:lineRule="auto"/>
              <w:ind w:left="220" w:firstLine="0"/>
              <w:rPr>
                <w:color w:val="0095a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Hispanic or Latino, percent</w:t>
            </w:r>
            <w:hyperlink r:id="rId32">
              <w:r w:rsidDel="00000000" w:rsidR="00000000" w:rsidRPr="00000000">
                <w:rPr>
                  <w:color w:val="0095a8"/>
                  <w:sz w:val="18"/>
                  <w:szCs w:val="18"/>
                  <w:highlight w:val="white"/>
                  <w:rtl w:val="0"/>
                </w:rPr>
                <w:t xml:space="preserve">(b)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15.2%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18.5%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White alone, not Hispanic or Latino, percent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50.6%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60.1%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Population Characteristics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Veterans, 2014-2018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1,620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18,611,432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Foreign born persons, percent, 2014-2018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19.7%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13.5%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Housing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Housing units, July 1, 2019, (V2019)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hyperlink r:id="rId33">
              <w:r w:rsidDel="00000000" w:rsidR="00000000" w:rsidRPr="00000000">
                <w:rPr>
                  <w:color w:val="337ab7"/>
                  <w:sz w:val="18"/>
                  <w:szCs w:val="18"/>
                  <w:highlight w:val="white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139,684,244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Owner-occupied housing unit rate, 2014-2018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53.4%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63.8%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Median value of owner-occupied housing units, 2014-2018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$325,000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$204,900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Median selected monthly owner costs -with a mortgage, 2014-2018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$1,931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$1,558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Median selected monthly owner costs -without a mortgage, 2014-2018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$633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$490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Median gross rent, 2014-2018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$1,122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$1,023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Building permits, 2019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hyperlink r:id="rId34">
              <w:r w:rsidDel="00000000" w:rsidR="00000000" w:rsidRPr="00000000">
                <w:rPr>
                  <w:color w:val="337ab7"/>
                  <w:sz w:val="18"/>
                  <w:szCs w:val="18"/>
                  <w:highlight w:val="white"/>
                  <w:rtl w:val="0"/>
                </w:rPr>
                <w:t xml:space="preserve">X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1,386,048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Families &amp; Living Arrangements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Households, 2014-2018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16,685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119,730,128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Persons per household, 2014-2018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2.54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2.63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Living in same house 1 year ago, percent of persons age 1 year+, 2014-2018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87.2%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85.5%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Language other than English spoken at home, percent of persons age 5 years+, 2014-2018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26.7%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21.5%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High school graduate or higher, percent of persons age 25 years+, 2014-2018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93.0%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87.7%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Bachelor's degree or higher, percent of persons age 25 years+, 2014-2018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52.4%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31.5%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Health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With a disability, under age 65 years, percent, 2014-2018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3.6%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8.6%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Persons without health insurance, under age 65 years, percent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15.2%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10.0%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Economy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In civilian labor force, total, percent of population age 16 years+, 2014-2018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71.7%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62.9%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In civilian labor force, female, percent of population age 16 years+, 2014-2018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65.8%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58.2%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5.45454545454547" w:lineRule="auto"/>
              <w:ind w:left="220" w:firstLine="0"/>
              <w:rPr>
                <w:color w:val="0095a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Total accommodation and food services sales, 2012 ($1,000)</w:t>
            </w:r>
            <w:hyperlink r:id="rId35">
              <w:r w:rsidDel="00000000" w:rsidR="00000000" w:rsidRPr="00000000">
                <w:rPr>
                  <w:color w:val="0095a8"/>
                  <w:sz w:val="18"/>
                  <w:szCs w:val="18"/>
                  <w:highlight w:val="white"/>
                  <w:rtl w:val="0"/>
                </w:rPr>
                <w:t xml:space="preserve">(c)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708,138,598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5.45454545454547" w:lineRule="auto"/>
              <w:ind w:left="220" w:firstLine="0"/>
              <w:rPr>
                <w:color w:val="0095a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Total health care and social assistance receipts/revenue, 2012 ($1,000)</w:t>
            </w:r>
            <w:hyperlink r:id="rId36">
              <w:r w:rsidDel="00000000" w:rsidR="00000000" w:rsidRPr="00000000">
                <w:rPr>
                  <w:color w:val="0095a8"/>
                  <w:sz w:val="18"/>
                  <w:szCs w:val="18"/>
                  <w:highlight w:val="white"/>
                  <w:rtl w:val="0"/>
                </w:rPr>
                <w:t xml:space="preserve">(c)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2,040,441,203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5.45454545454547" w:lineRule="auto"/>
              <w:ind w:left="220" w:firstLine="0"/>
              <w:rPr>
                <w:color w:val="0095a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Total manufacturers shipments, 2012 ($1,000)</w:t>
            </w:r>
            <w:hyperlink r:id="rId37">
              <w:r w:rsidDel="00000000" w:rsidR="00000000" w:rsidRPr="00000000">
                <w:rPr>
                  <w:color w:val="0095a8"/>
                  <w:sz w:val="18"/>
                  <w:szCs w:val="18"/>
                  <w:highlight w:val="white"/>
                  <w:rtl w:val="0"/>
                </w:rPr>
                <w:t xml:space="preserve">(c)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5,696,729,632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5.45454545454547" w:lineRule="auto"/>
              <w:ind w:left="220" w:firstLine="0"/>
              <w:rPr>
                <w:color w:val="0095a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Total merchant wholesaler sales, 2012 ($1,000)</w:t>
            </w:r>
            <w:hyperlink r:id="rId38">
              <w:r w:rsidDel="00000000" w:rsidR="00000000" w:rsidRPr="00000000">
                <w:rPr>
                  <w:color w:val="0095a8"/>
                  <w:sz w:val="18"/>
                  <w:szCs w:val="18"/>
                  <w:highlight w:val="white"/>
                  <w:rtl w:val="0"/>
                </w:rPr>
                <w:t xml:space="preserve">(c)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5,208,023,478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5.45454545454547" w:lineRule="auto"/>
              <w:ind w:left="220" w:firstLine="0"/>
              <w:rPr>
                <w:color w:val="0095a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Total retail sales, 2012 ($1,000)</w:t>
            </w:r>
            <w:hyperlink r:id="rId39">
              <w:r w:rsidDel="00000000" w:rsidR="00000000" w:rsidRPr="00000000">
                <w:rPr>
                  <w:color w:val="0095a8"/>
                  <w:sz w:val="18"/>
                  <w:szCs w:val="18"/>
                  <w:highlight w:val="white"/>
                  <w:rtl w:val="0"/>
                </w:rPr>
                <w:t xml:space="preserve">(c)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4,219,821,871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5.45454545454547" w:lineRule="auto"/>
              <w:ind w:left="220" w:firstLine="0"/>
              <w:rPr>
                <w:color w:val="0095a8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Total retail sales per capita, 2012</w:t>
            </w:r>
            <w:hyperlink r:id="rId40">
              <w:r w:rsidDel="00000000" w:rsidR="00000000" w:rsidRPr="00000000">
                <w:rPr>
                  <w:color w:val="0095a8"/>
                  <w:sz w:val="18"/>
                  <w:szCs w:val="18"/>
                  <w:highlight w:val="white"/>
                  <w:rtl w:val="0"/>
                </w:rPr>
                <w:t xml:space="preserve">(c)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hyperlink r:id="rId41">
              <w:r w:rsidDel="00000000" w:rsidR="00000000" w:rsidRPr="00000000">
                <w:rPr>
                  <w:color w:val="337ab7"/>
                  <w:sz w:val="18"/>
                  <w:szCs w:val="18"/>
                  <w:highlight w:val="white"/>
                  <w:rtl w:val="0"/>
                </w:rPr>
                <w:t xml:space="preserve">NA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$13,443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Transportation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Mean travel time to work (minutes), workers age 16 years+, 2014-2018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28.9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26.6</w:t>
            </w:r>
          </w:p>
        </w:tc>
      </w:tr>
      <w:tr>
        <w:trPr>
          <w:trHeight w:val="39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Income &amp; Poverty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Median household income (in 2018 dollars), 2014-2018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$67,949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$60,293</w:t>
            </w:r>
          </w:p>
        </w:tc>
      </w:tr>
      <w:tr>
        <w:trPr>
          <w:trHeight w:val="58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Per capita income in past 12 months (in 2018 dollars), 2014-2018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$41,741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$32,621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60.0" w:type="dxa"/>
              <w:left w:w="120.0" w:type="dxa"/>
              <w:bottom w:w="6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Persons in poverty, percent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9.9%</w:t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f1f3f5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5.45454545454547" w:lineRule="auto"/>
              <w:jc w:val="right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11.8%</w:t>
            </w:r>
          </w:p>
        </w:tc>
      </w:tr>
    </w:tbl>
    <w:p w:rsidR="00000000" w:rsidDel="00000000" w:rsidP="00000000" w:rsidRDefault="00000000" w:rsidRPr="00000000" w14:paraId="00000119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5.717647058824"/>
        <w:gridCol w:w="2477.6470588235297"/>
        <w:gridCol w:w="2466.635294117647"/>
        <w:tblGridChange w:id="0">
          <w:tblGrid>
            <w:gridCol w:w="4415.717647058824"/>
            <w:gridCol w:w="2477.6470588235297"/>
            <w:gridCol w:w="2466.635294117647"/>
          </w:tblGrid>
        </w:tblGridChange>
      </w:tblGrid>
      <w:tr>
        <w:trPr>
          <w:trHeight w:val="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5.45454545454547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Businesses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ffffff" w:space="0" w:sz="30" w:val="single"/>
              <w:bottom w:color="ffffff" w:space="0" w:sz="6" w:val="single"/>
              <w:right w:color="000000" w:space="0" w:sz="0" w:val="nil"/>
            </w:tcBorders>
            <w:shd w:fill="d6dde1" w:val="clear"/>
            <w:tcMar>
              <w:top w:w="0.0" w:type="dxa"/>
              <w:left w:w="0.0" w:type="dxa"/>
              <w:bottom w:w="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5.45454545454547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City-data.com</w:t>
      </w:r>
    </w:p>
    <w:p w:rsidR="00000000" w:rsidDel="00000000" w:rsidP="00000000" w:rsidRDefault="00000000" w:rsidRPr="00000000" w14:paraId="00000121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Estimated zip code population in 2017: 36,094 Zip code population in 2010: 31,704 Zip code population in 2000: 35,145 Houses and condos: 15,291 Renter-occupied apartments: 7,060 % of renters here: 50% State: 37% March 2019 cost of living index in zip code 30092: 98.6 (near average, U.S. average is 100)</w:t>
      </w:r>
    </w:p>
    <w:p w:rsidR="00000000" w:rsidDel="00000000" w:rsidP="00000000" w:rsidRDefault="00000000" w:rsidRPr="00000000" w14:paraId="00000123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Median real estate property taxes paid for housing units with mortgages in 2017: $3,831 (1.1%) Median real estate property taxes paid for housing units with no mortgage in 2017: $3,043 (1.0%)</w:t>
      </w:r>
    </w:p>
    <w:p w:rsidR="00000000" w:rsidDel="00000000" w:rsidP="00000000" w:rsidRDefault="00000000" w:rsidRPr="00000000" w14:paraId="00000125">
      <w:pPr>
        <w:rPr>
          <w:color w:val="337ab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For population 25 years and over in 30092: High school or higher: 96.1% Bachelor's degree or higher: 53.7% Graduate or professional degree: 18.9% Unemployed: 4.4% Mean travel time to work (commute): 27.6 minutes</w:t>
      </w:r>
    </w:p>
    <w:p w:rsidR="00000000" w:rsidDel="00000000" w:rsidP="00000000" w:rsidRDefault="00000000" w:rsidRPr="00000000" w14:paraId="00000127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100% urban population. Estimated median house/condo value in 2017: $346,023 30092: $346,023 Georgia: $173,700</w:t>
      </w:r>
    </w:p>
    <w:p w:rsidR="00000000" w:rsidDel="00000000" w:rsidP="00000000" w:rsidRDefault="00000000" w:rsidRPr="00000000" w14:paraId="00000129">
      <w:pPr>
        <w:rPr>
          <w:color w:val="337ab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337ab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337ab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337ab7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census.gov/quickfacts/fact/table/peachtreecornerscitygeorgia,US/PST045219#qf-headnote-c" TargetMode="External"/><Relationship Id="rId20" Type="http://schemas.openxmlformats.org/officeDocument/2006/relationships/hyperlink" Target="http://www.usa.com/georgia-state.htm" TargetMode="External"/><Relationship Id="rId41" Type="http://schemas.openxmlformats.org/officeDocument/2006/relationships/hyperlink" Target="https://www.census.gov/quickfacts/fact/table/peachtreecornerscitygeorgia,US/PST045219#qf-flag-NA" TargetMode="External"/><Relationship Id="rId22" Type="http://schemas.openxmlformats.org/officeDocument/2006/relationships/hyperlink" Target="http://www.usa.com/gwinnett-county-ga.htm" TargetMode="External"/><Relationship Id="rId21" Type="http://schemas.openxmlformats.org/officeDocument/2006/relationships/hyperlink" Target="http://www.usa.com/atlanta-sandy-springs-marietta-ga-area.htm" TargetMode="External"/><Relationship Id="rId24" Type="http://schemas.openxmlformats.org/officeDocument/2006/relationships/hyperlink" Target="http://www.usa.com/norcross-ga.htm" TargetMode="External"/><Relationship Id="rId23" Type="http://schemas.openxmlformats.org/officeDocument/2006/relationships/hyperlink" Target="http://www.usa.com/fulton-county-ga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usa.com/rank/georgia-state--total-population--zip-code-rank.htm?hl=30092&amp;hlst=GA&amp;yr=9000" TargetMode="External"/><Relationship Id="rId26" Type="http://schemas.openxmlformats.org/officeDocument/2006/relationships/hyperlink" Target="http://www.usa.com/rank/georgia-state--public-school-performance--zip-code-rank.htm?hl=30092&amp;hlst=GA" TargetMode="External"/><Relationship Id="rId25" Type="http://schemas.openxmlformats.org/officeDocument/2006/relationships/image" Target="media/image1.gif"/><Relationship Id="rId28" Type="http://schemas.openxmlformats.org/officeDocument/2006/relationships/hyperlink" Target="https://www.census.gov/quickfacts/fact/table/peachtreecornerscitygeorgia,US/PST045219#qf-headnote-a" TargetMode="External"/><Relationship Id="rId27" Type="http://schemas.openxmlformats.org/officeDocument/2006/relationships/hyperlink" Target="https://www.census.gov/quickfacts/fact/table/peachtreecornerscitygeorgia,US/PST045219#qf-flag-X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hyperlink" Target="https://www.census.gov/quickfacts/fact/table/peachtreecornerscitygeorgia,US/PST045219#qf-headnote-a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www.usa.com/30092-ga-population-and-races.htm" TargetMode="External"/><Relationship Id="rId31" Type="http://schemas.openxmlformats.org/officeDocument/2006/relationships/hyperlink" Target="https://www.census.gov/quickfacts/fact/table/peachtreecornerscitygeorgia,US/PST045219#qf-headnote-a" TargetMode="External"/><Relationship Id="rId30" Type="http://schemas.openxmlformats.org/officeDocument/2006/relationships/hyperlink" Target="https://www.census.gov/quickfacts/fact/table/peachtreecornerscitygeorgia,US/PST045219#qf-headnote-a" TargetMode="External"/><Relationship Id="rId11" Type="http://schemas.openxmlformats.org/officeDocument/2006/relationships/hyperlink" Target="http://www.usa.com/rank/georgia-state--population-growth-rate--zip-code-rank.htm?hl=30092&amp;hlst=GA&amp;yr=9000" TargetMode="External"/><Relationship Id="rId33" Type="http://schemas.openxmlformats.org/officeDocument/2006/relationships/hyperlink" Target="https://www.census.gov/quickfacts/fact/table/peachtreecornerscitygeorgia,US/PST045219#qf-flag-X" TargetMode="External"/><Relationship Id="rId10" Type="http://schemas.openxmlformats.org/officeDocument/2006/relationships/hyperlink" Target="http://www.usa.com/30092-ga-population-and-races.htm" TargetMode="External"/><Relationship Id="rId32" Type="http://schemas.openxmlformats.org/officeDocument/2006/relationships/hyperlink" Target="https://www.census.gov/quickfacts/fact/table/peachtreecornerscitygeorgia,US/PST045219#qf-headnote-b" TargetMode="External"/><Relationship Id="rId13" Type="http://schemas.openxmlformats.org/officeDocument/2006/relationships/hyperlink" Target="http://www.usa.com/rank/georgia-state--population-density--zip-code-rank.htm?hl=30092&amp;hlst=GA" TargetMode="External"/><Relationship Id="rId35" Type="http://schemas.openxmlformats.org/officeDocument/2006/relationships/hyperlink" Target="https://www.census.gov/quickfacts/fact/table/peachtreecornerscitygeorgia,US/PST045219#qf-headnote-c" TargetMode="External"/><Relationship Id="rId12" Type="http://schemas.openxmlformats.org/officeDocument/2006/relationships/hyperlink" Target="http://www.usa.com/30092-ga-population-and-races.htm" TargetMode="External"/><Relationship Id="rId34" Type="http://schemas.openxmlformats.org/officeDocument/2006/relationships/hyperlink" Target="https://www.census.gov/quickfacts/fact/table/peachtreecornerscitygeorgia,US/PST045219#qf-flag-X" TargetMode="External"/><Relationship Id="rId15" Type="http://schemas.openxmlformats.org/officeDocument/2006/relationships/hyperlink" Target="http://www.usa.com/rank/georgia-state--median-household-income--zip-code-rank.htm?hl=30092&amp;hlst=GA&amp;yr=9000" TargetMode="External"/><Relationship Id="rId37" Type="http://schemas.openxmlformats.org/officeDocument/2006/relationships/hyperlink" Target="https://www.census.gov/quickfacts/fact/table/peachtreecornerscitygeorgia,US/PST045219#qf-headnote-c" TargetMode="External"/><Relationship Id="rId14" Type="http://schemas.openxmlformats.org/officeDocument/2006/relationships/hyperlink" Target="http://www.usa.com/30092-ga-income-and-careers.htm" TargetMode="External"/><Relationship Id="rId36" Type="http://schemas.openxmlformats.org/officeDocument/2006/relationships/hyperlink" Target="https://www.census.gov/quickfacts/fact/table/peachtreecornerscitygeorgia,US/PST045219#qf-headnote-c" TargetMode="External"/><Relationship Id="rId17" Type="http://schemas.openxmlformats.org/officeDocument/2006/relationships/hyperlink" Target="http://www.usa.com/rank/georgia-state--house-median-value--zip-code-rank.htm?hl=30092&amp;hlst=GA&amp;yr=9000" TargetMode="External"/><Relationship Id="rId39" Type="http://schemas.openxmlformats.org/officeDocument/2006/relationships/hyperlink" Target="https://www.census.gov/quickfacts/fact/table/peachtreecornerscitygeorgia,US/PST045219#qf-headnote-c" TargetMode="External"/><Relationship Id="rId16" Type="http://schemas.openxmlformats.org/officeDocument/2006/relationships/hyperlink" Target="http://www.usa.com/30092-ga-housing.htm" TargetMode="External"/><Relationship Id="rId38" Type="http://schemas.openxmlformats.org/officeDocument/2006/relationships/hyperlink" Target="https://www.census.gov/quickfacts/fact/table/peachtreecornerscitygeorgia,US/PST045219#qf-headnote-c" TargetMode="External"/><Relationship Id="rId19" Type="http://schemas.openxmlformats.org/officeDocument/2006/relationships/hyperlink" Target="http://www.usa.com/rank/georgia-state--water-area--zip-code-rank.htm?hl=30092&amp;hlst=GA" TargetMode="External"/><Relationship Id="rId18" Type="http://schemas.openxmlformats.org/officeDocument/2006/relationships/hyperlink" Target="http://www.usa.com/rank/georgia-state--land-area--zip-code-rank.htm?hl=30092&amp;hlst=G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