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1C4310" w14:textId="31621AB4" w:rsidR="008D78AE" w:rsidRDefault="008D78AE" w:rsidP="005F665A">
      <w:pPr>
        <w:spacing w:before="100" w:beforeAutospacing="1" w:after="100" w:afterAutospacing="1" w:line="240" w:lineRule="auto"/>
        <w:rPr>
          <w:rFonts w:ascii="Verdana" w:eastAsia="Times New Roman" w:hAnsi="Verdana" w:cs="Times New Roman"/>
          <w:color w:val="333333"/>
          <w:sz w:val="21"/>
          <w:szCs w:val="21"/>
        </w:rPr>
      </w:pPr>
      <w:r>
        <w:rPr>
          <w:rFonts w:ascii="Verdana" w:hAnsi="Verdana"/>
          <w:color w:val="333333"/>
          <w:sz w:val="21"/>
          <w:szCs w:val="21"/>
        </w:rPr>
        <w:t>Bankruptcy cannot be filed in state courts</w:t>
      </w:r>
      <w:r w:rsidR="00A763DB">
        <w:rPr>
          <w:rFonts w:ascii="Verdana" w:hAnsi="Verdana"/>
          <w:color w:val="333333"/>
          <w:sz w:val="21"/>
          <w:szCs w:val="21"/>
        </w:rPr>
        <w:t xml:space="preserve">. </w:t>
      </w:r>
    </w:p>
    <w:p w14:paraId="0C1EB66F" w14:textId="1078BDF6" w:rsidR="005F665A" w:rsidRPr="005F665A" w:rsidRDefault="005F665A" w:rsidP="005F665A">
      <w:pPr>
        <w:spacing w:before="100" w:beforeAutospacing="1" w:after="100" w:afterAutospacing="1" w:line="240" w:lineRule="auto"/>
        <w:rPr>
          <w:rFonts w:ascii="Verdana" w:eastAsia="Times New Roman" w:hAnsi="Verdana" w:cs="Times New Roman"/>
          <w:color w:val="333333"/>
          <w:sz w:val="21"/>
          <w:szCs w:val="21"/>
        </w:rPr>
      </w:pPr>
      <w:r w:rsidRPr="005F665A">
        <w:rPr>
          <w:rFonts w:ascii="Verdana" w:eastAsia="Times New Roman" w:hAnsi="Verdana" w:cs="Times New Roman"/>
          <w:color w:val="333333"/>
          <w:sz w:val="21"/>
          <w:szCs w:val="21"/>
        </w:rPr>
        <w:t>Six basic types of bankruptcy cases exist under the U.S. Bankruptcy Code:</w:t>
      </w:r>
    </w:p>
    <w:tbl>
      <w:tblPr>
        <w:tblW w:w="7470" w:type="dxa"/>
        <w:tblCellSpacing w:w="6" w:type="dxa"/>
        <w:tblCellMar>
          <w:left w:w="0" w:type="dxa"/>
          <w:right w:w="0" w:type="dxa"/>
        </w:tblCellMar>
        <w:tblLook w:val="04A0" w:firstRow="1" w:lastRow="0" w:firstColumn="1" w:lastColumn="0" w:noHBand="0" w:noVBand="1"/>
      </w:tblPr>
      <w:tblGrid>
        <w:gridCol w:w="2408"/>
        <w:gridCol w:w="5062"/>
      </w:tblGrid>
      <w:tr w:rsidR="005F665A" w:rsidRPr="005F665A" w14:paraId="505BB5D7" w14:textId="77777777" w:rsidTr="005F665A">
        <w:trPr>
          <w:tblCellSpacing w:w="6" w:type="dxa"/>
        </w:trPr>
        <w:tc>
          <w:tcPr>
            <w:tcW w:w="2220" w:type="dxa"/>
            <w:vAlign w:val="center"/>
            <w:hideMark/>
          </w:tcPr>
          <w:p w14:paraId="114986FC" w14:textId="77777777" w:rsidR="005F665A" w:rsidRPr="005F665A" w:rsidRDefault="005F665A" w:rsidP="005F665A">
            <w:pPr>
              <w:spacing w:before="100" w:beforeAutospacing="1" w:after="100" w:afterAutospacing="1" w:line="240" w:lineRule="auto"/>
              <w:rPr>
                <w:rFonts w:ascii="Verdana" w:eastAsia="Times New Roman" w:hAnsi="Verdana" w:cs="Times New Roman"/>
                <w:color w:val="333333"/>
                <w:sz w:val="21"/>
                <w:szCs w:val="21"/>
              </w:rPr>
            </w:pPr>
            <w:r w:rsidRPr="005F665A">
              <w:rPr>
                <w:rFonts w:ascii="Verdana" w:eastAsia="Times New Roman" w:hAnsi="Verdana" w:cs="Times New Roman"/>
                <w:b/>
                <w:bCs/>
                <w:color w:val="333333"/>
                <w:sz w:val="21"/>
                <w:szCs w:val="21"/>
              </w:rPr>
              <w:t>CHAPTER 7</w:t>
            </w:r>
            <w:r w:rsidRPr="005F665A">
              <w:rPr>
                <w:rFonts w:ascii="Verdana" w:eastAsia="Times New Roman" w:hAnsi="Verdana" w:cs="Times New Roman"/>
                <w:b/>
                <w:bCs/>
                <w:color w:val="333333"/>
                <w:sz w:val="21"/>
                <w:szCs w:val="21"/>
              </w:rPr>
              <w:br/>
              <w:t>Liquidation</w:t>
            </w:r>
          </w:p>
        </w:tc>
        <w:tc>
          <w:tcPr>
            <w:tcW w:w="5010" w:type="dxa"/>
            <w:vAlign w:val="center"/>
            <w:hideMark/>
          </w:tcPr>
          <w:p w14:paraId="4CCC3009" w14:textId="77777777" w:rsidR="005F665A" w:rsidRPr="005F665A" w:rsidRDefault="005F665A" w:rsidP="005F665A">
            <w:pPr>
              <w:spacing w:before="100" w:beforeAutospacing="1" w:after="100" w:afterAutospacing="1" w:line="240" w:lineRule="auto"/>
              <w:rPr>
                <w:rFonts w:ascii="Verdana" w:eastAsia="Times New Roman" w:hAnsi="Verdana" w:cs="Times New Roman"/>
                <w:color w:val="333333"/>
                <w:sz w:val="21"/>
                <w:szCs w:val="21"/>
              </w:rPr>
            </w:pPr>
            <w:r w:rsidRPr="005F665A">
              <w:rPr>
                <w:rFonts w:ascii="Verdana" w:eastAsia="Times New Roman" w:hAnsi="Verdana" w:cs="Times New Roman"/>
                <w:color w:val="333333"/>
                <w:sz w:val="21"/>
                <w:szCs w:val="21"/>
              </w:rPr>
              <w:t>Court-supervised procedure where trustee takes over the debtor's estate assets and reduces them to cash to make distributions to creditors</w:t>
            </w:r>
          </w:p>
        </w:tc>
      </w:tr>
      <w:tr w:rsidR="005F665A" w:rsidRPr="005F665A" w14:paraId="77FF9DD6" w14:textId="77777777" w:rsidTr="005F665A">
        <w:trPr>
          <w:tblCellSpacing w:w="6" w:type="dxa"/>
        </w:trPr>
        <w:tc>
          <w:tcPr>
            <w:tcW w:w="0" w:type="auto"/>
            <w:vAlign w:val="center"/>
            <w:hideMark/>
          </w:tcPr>
          <w:p w14:paraId="695BDA83" w14:textId="77777777" w:rsidR="005F665A" w:rsidRPr="005F665A" w:rsidRDefault="005F665A" w:rsidP="005F665A">
            <w:pPr>
              <w:spacing w:before="100" w:beforeAutospacing="1" w:after="100" w:afterAutospacing="1" w:line="240" w:lineRule="auto"/>
              <w:rPr>
                <w:rFonts w:ascii="Verdana" w:eastAsia="Times New Roman" w:hAnsi="Verdana" w:cs="Times New Roman"/>
                <w:color w:val="333333"/>
                <w:sz w:val="21"/>
                <w:szCs w:val="21"/>
              </w:rPr>
            </w:pPr>
            <w:r w:rsidRPr="005F665A">
              <w:rPr>
                <w:rFonts w:ascii="Verdana" w:eastAsia="Times New Roman" w:hAnsi="Verdana" w:cs="Times New Roman"/>
                <w:b/>
                <w:bCs/>
                <w:color w:val="333333"/>
                <w:sz w:val="21"/>
                <w:szCs w:val="21"/>
              </w:rPr>
              <w:t>CHAPTER 9</w:t>
            </w:r>
            <w:r w:rsidRPr="005F665A">
              <w:rPr>
                <w:rFonts w:ascii="Verdana" w:eastAsia="Times New Roman" w:hAnsi="Verdana" w:cs="Times New Roman"/>
                <w:b/>
                <w:bCs/>
                <w:color w:val="333333"/>
                <w:sz w:val="21"/>
                <w:szCs w:val="21"/>
              </w:rPr>
              <w:br/>
              <w:t>Municipality</w:t>
            </w:r>
          </w:p>
        </w:tc>
        <w:tc>
          <w:tcPr>
            <w:tcW w:w="0" w:type="auto"/>
            <w:vAlign w:val="center"/>
            <w:hideMark/>
          </w:tcPr>
          <w:p w14:paraId="03DAB287" w14:textId="77777777" w:rsidR="005F665A" w:rsidRPr="005F665A" w:rsidRDefault="005F665A" w:rsidP="005F665A">
            <w:pPr>
              <w:spacing w:before="100" w:beforeAutospacing="1" w:after="100" w:afterAutospacing="1" w:line="240" w:lineRule="auto"/>
              <w:rPr>
                <w:rFonts w:ascii="Verdana" w:eastAsia="Times New Roman" w:hAnsi="Verdana" w:cs="Times New Roman"/>
                <w:color w:val="333333"/>
                <w:sz w:val="21"/>
                <w:szCs w:val="21"/>
              </w:rPr>
            </w:pPr>
            <w:r w:rsidRPr="005F665A">
              <w:rPr>
                <w:rFonts w:ascii="Verdana" w:eastAsia="Times New Roman" w:hAnsi="Verdana" w:cs="Times New Roman"/>
                <w:color w:val="333333"/>
                <w:sz w:val="21"/>
                <w:szCs w:val="21"/>
              </w:rPr>
              <w:t>Much like reorganization under Chapter 11, but for municipalities</w:t>
            </w:r>
          </w:p>
        </w:tc>
      </w:tr>
      <w:tr w:rsidR="005F665A" w:rsidRPr="005F665A" w14:paraId="391F3C77" w14:textId="77777777" w:rsidTr="005F665A">
        <w:trPr>
          <w:tblCellSpacing w:w="6" w:type="dxa"/>
        </w:trPr>
        <w:tc>
          <w:tcPr>
            <w:tcW w:w="0" w:type="auto"/>
            <w:vAlign w:val="center"/>
            <w:hideMark/>
          </w:tcPr>
          <w:p w14:paraId="24570ECF" w14:textId="77777777" w:rsidR="005F665A" w:rsidRPr="005F665A" w:rsidRDefault="005F665A" w:rsidP="005F665A">
            <w:pPr>
              <w:spacing w:before="100" w:beforeAutospacing="1" w:after="100" w:afterAutospacing="1" w:line="240" w:lineRule="auto"/>
              <w:rPr>
                <w:rFonts w:ascii="Verdana" w:eastAsia="Times New Roman" w:hAnsi="Verdana" w:cs="Times New Roman"/>
                <w:color w:val="333333"/>
                <w:sz w:val="21"/>
                <w:szCs w:val="21"/>
              </w:rPr>
            </w:pPr>
            <w:r w:rsidRPr="005F665A">
              <w:rPr>
                <w:rFonts w:ascii="Verdana" w:eastAsia="Times New Roman" w:hAnsi="Verdana" w:cs="Times New Roman"/>
                <w:b/>
                <w:bCs/>
                <w:color w:val="333333"/>
                <w:sz w:val="21"/>
                <w:szCs w:val="21"/>
              </w:rPr>
              <w:t>CHAPTER 11</w:t>
            </w:r>
            <w:r w:rsidRPr="005F665A">
              <w:rPr>
                <w:rFonts w:ascii="Verdana" w:eastAsia="Times New Roman" w:hAnsi="Verdana" w:cs="Times New Roman"/>
                <w:b/>
                <w:bCs/>
                <w:color w:val="333333"/>
                <w:sz w:val="21"/>
                <w:szCs w:val="21"/>
              </w:rPr>
              <w:br/>
              <w:t>Reorganization</w:t>
            </w:r>
          </w:p>
        </w:tc>
        <w:tc>
          <w:tcPr>
            <w:tcW w:w="0" w:type="auto"/>
            <w:vAlign w:val="center"/>
            <w:hideMark/>
          </w:tcPr>
          <w:p w14:paraId="3ADFDC9D" w14:textId="77777777" w:rsidR="005F665A" w:rsidRPr="005F665A" w:rsidRDefault="005F665A" w:rsidP="005F665A">
            <w:pPr>
              <w:spacing w:before="100" w:beforeAutospacing="1" w:after="100" w:afterAutospacing="1" w:line="240" w:lineRule="auto"/>
              <w:rPr>
                <w:rFonts w:ascii="Verdana" w:eastAsia="Times New Roman" w:hAnsi="Verdana" w:cs="Times New Roman"/>
                <w:color w:val="333333"/>
                <w:sz w:val="21"/>
                <w:szCs w:val="21"/>
              </w:rPr>
            </w:pPr>
            <w:r w:rsidRPr="005F665A">
              <w:rPr>
                <w:rFonts w:ascii="Verdana" w:eastAsia="Times New Roman" w:hAnsi="Verdana" w:cs="Times New Roman"/>
                <w:color w:val="333333"/>
                <w:sz w:val="21"/>
                <w:szCs w:val="21"/>
              </w:rPr>
              <w:t>Used by commercial enterprises that desire to continue operating a business and repay creditors concurrently through a court-approved plan of reorganization</w:t>
            </w:r>
          </w:p>
        </w:tc>
      </w:tr>
      <w:tr w:rsidR="005F665A" w:rsidRPr="005F665A" w14:paraId="72301FB7" w14:textId="77777777" w:rsidTr="005F665A">
        <w:trPr>
          <w:tblCellSpacing w:w="6" w:type="dxa"/>
        </w:trPr>
        <w:tc>
          <w:tcPr>
            <w:tcW w:w="0" w:type="auto"/>
            <w:vAlign w:val="center"/>
            <w:hideMark/>
          </w:tcPr>
          <w:p w14:paraId="7E5F7B5E" w14:textId="77777777" w:rsidR="005F665A" w:rsidRPr="005F665A" w:rsidRDefault="005F665A" w:rsidP="005F665A">
            <w:pPr>
              <w:spacing w:before="100" w:beforeAutospacing="1" w:after="100" w:afterAutospacing="1" w:line="240" w:lineRule="auto"/>
              <w:rPr>
                <w:rFonts w:ascii="Verdana" w:eastAsia="Times New Roman" w:hAnsi="Verdana" w:cs="Times New Roman"/>
                <w:color w:val="333333"/>
                <w:sz w:val="21"/>
                <w:szCs w:val="21"/>
              </w:rPr>
            </w:pPr>
            <w:r w:rsidRPr="005F665A">
              <w:rPr>
                <w:rFonts w:ascii="Verdana" w:eastAsia="Times New Roman" w:hAnsi="Verdana" w:cs="Times New Roman"/>
                <w:b/>
                <w:bCs/>
                <w:color w:val="333333"/>
                <w:sz w:val="21"/>
                <w:szCs w:val="21"/>
              </w:rPr>
              <w:t>CHAPTER 12</w:t>
            </w:r>
            <w:r w:rsidRPr="005F665A">
              <w:rPr>
                <w:rFonts w:ascii="Verdana" w:eastAsia="Times New Roman" w:hAnsi="Verdana" w:cs="Times New Roman"/>
                <w:b/>
                <w:bCs/>
                <w:color w:val="333333"/>
                <w:sz w:val="21"/>
                <w:szCs w:val="21"/>
              </w:rPr>
              <w:br/>
              <w:t>Farmer or Fisherman</w:t>
            </w:r>
          </w:p>
        </w:tc>
        <w:tc>
          <w:tcPr>
            <w:tcW w:w="0" w:type="auto"/>
            <w:vAlign w:val="center"/>
            <w:hideMark/>
          </w:tcPr>
          <w:p w14:paraId="300CB2B2" w14:textId="77777777" w:rsidR="005F665A" w:rsidRPr="005F665A" w:rsidRDefault="005F665A" w:rsidP="005F665A">
            <w:pPr>
              <w:spacing w:before="100" w:beforeAutospacing="1" w:after="100" w:afterAutospacing="1" w:line="240" w:lineRule="auto"/>
              <w:rPr>
                <w:rFonts w:ascii="Verdana" w:eastAsia="Times New Roman" w:hAnsi="Verdana" w:cs="Times New Roman"/>
                <w:color w:val="333333"/>
                <w:sz w:val="21"/>
                <w:szCs w:val="21"/>
              </w:rPr>
            </w:pPr>
            <w:r w:rsidRPr="005F665A">
              <w:rPr>
                <w:rFonts w:ascii="Verdana" w:eastAsia="Times New Roman" w:hAnsi="Verdana" w:cs="Times New Roman"/>
                <w:color w:val="333333"/>
                <w:sz w:val="21"/>
                <w:szCs w:val="21"/>
              </w:rPr>
              <w:t>Provides debt relief to family farmers and fishermen with regular incomes</w:t>
            </w:r>
          </w:p>
        </w:tc>
      </w:tr>
      <w:tr w:rsidR="005F665A" w:rsidRPr="005F665A" w14:paraId="5A958871" w14:textId="77777777" w:rsidTr="005F665A">
        <w:trPr>
          <w:tblCellSpacing w:w="6" w:type="dxa"/>
        </w:trPr>
        <w:tc>
          <w:tcPr>
            <w:tcW w:w="0" w:type="auto"/>
            <w:vAlign w:val="center"/>
            <w:hideMark/>
          </w:tcPr>
          <w:p w14:paraId="3B3DB381" w14:textId="77777777" w:rsidR="005F665A" w:rsidRPr="005F665A" w:rsidRDefault="005F665A" w:rsidP="005F665A">
            <w:pPr>
              <w:spacing w:before="100" w:beforeAutospacing="1" w:after="100" w:afterAutospacing="1" w:line="240" w:lineRule="auto"/>
              <w:rPr>
                <w:rFonts w:ascii="Verdana" w:eastAsia="Times New Roman" w:hAnsi="Verdana" w:cs="Times New Roman"/>
                <w:color w:val="333333"/>
                <w:sz w:val="21"/>
                <w:szCs w:val="21"/>
              </w:rPr>
            </w:pPr>
            <w:r w:rsidRPr="005F665A">
              <w:rPr>
                <w:rFonts w:ascii="Verdana" w:eastAsia="Times New Roman" w:hAnsi="Verdana" w:cs="Times New Roman"/>
                <w:b/>
                <w:bCs/>
                <w:color w:val="333333"/>
                <w:sz w:val="21"/>
                <w:szCs w:val="21"/>
              </w:rPr>
              <w:t>CHAPTER 13</w:t>
            </w:r>
            <w:r w:rsidRPr="005F665A">
              <w:rPr>
                <w:rFonts w:ascii="Verdana" w:eastAsia="Times New Roman" w:hAnsi="Verdana" w:cs="Times New Roman"/>
                <w:b/>
                <w:bCs/>
                <w:color w:val="333333"/>
                <w:sz w:val="21"/>
                <w:szCs w:val="21"/>
              </w:rPr>
              <w:br/>
              <w:t>Individual</w:t>
            </w:r>
          </w:p>
        </w:tc>
        <w:tc>
          <w:tcPr>
            <w:tcW w:w="0" w:type="auto"/>
            <w:vAlign w:val="center"/>
            <w:hideMark/>
          </w:tcPr>
          <w:p w14:paraId="491C37CD" w14:textId="77777777" w:rsidR="005F665A" w:rsidRPr="005F665A" w:rsidRDefault="005F665A" w:rsidP="005F665A">
            <w:pPr>
              <w:spacing w:before="100" w:beforeAutospacing="1" w:after="100" w:afterAutospacing="1" w:line="240" w:lineRule="auto"/>
              <w:rPr>
                <w:rFonts w:ascii="Verdana" w:eastAsia="Times New Roman" w:hAnsi="Verdana" w:cs="Times New Roman"/>
                <w:color w:val="333333"/>
                <w:sz w:val="21"/>
                <w:szCs w:val="21"/>
              </w:rPr>
            </w:pPr>
            <w:r w:rsidRPr="005F665A">
              <w:rPr>
                <w:rFonts w:ascii="Verdana" w:eastAsia="Times New Roman" w:hAnsi="Verdana" w:cs="Times New Roman"/>
                <w:color w:val="333333"/>
                <w:sz w:val="21"/>
                <w:szCs w:val="21"/>
              </w:rPr>
              <w:t>Designed for individual debtors with regular sources of income</w:t>
            </w:r>
          </w:p>
        </w:tc>
      </w:tr>
      <w:tr w:rsidR="005F665A" w:rsidRPr="005F665A" w14:paraId="540F20FB" w14:textId="77777777" w:rsidTr="005F665A">
        <w:trPr>
          <w:tblCellSpacing w:w="6" w:type="dxa"/>
        </w:trPr>
        <w:tc>
          <w:tcPr>
            <w:tcW w:w="0" w:type="auto"/>
            <w:vAlign w:val="center"/>
            <w:hideMark/>
          </w:tcPr>
          <w:p w14:paraId="35A03024" w14:textId="77777777" w:rsidR="005F665A" w:rsidRPr="005F665A" w:rsidRDefault="005F665A" w:rsidP="005F665A">
            <w:pPr>
              <w:spacing w:before="100" w:beforeAutospacing="1" w:after="100" w:afterAutospacing="1" w:line="240" w:lineRule="auto"/>
              <w:rPr>
                <w:rFonts w:ascii="Verdana" w:eastAsia="Times New Roman" w:hAnsi="Verdana" w:cs="Times New Roman"/>
                <w:color w:val="333333"/>
                <w:sz w:val="21"/>
                <w:szCs w:val="21"/>
              </w:rPr>
            </w:pPr>
            <w:r w:rsidRPr="005F665A">
              <w:rPr>
                <w:rFonts w:ascii="Verdana" w:eastAsia="Times New Roman" w:hAnsi="Verdana" w:cs="Times New Roman"/>
                <w:b/>
                <w:bCs/>
                <w:color w:val="333333"/>
                <w:sz w:val="21"/>
                <w:szCs w:val="21"/>
              </w:rPr>
              <w:t>CHAPTER 15</w:t>
            </w:r>
            <w:r w:rsidRPr="005F665A">
              <w:rPr>
                <w:rFonts w:ascii="Verdana" w:eastAsia="Times New Roman" w:hAnsi="Verdana" w:cs="Times New Roman"/>
                <w:b/>
                <w:bCs/>
                <w:color w:val="333333"/>
                <w:sz w:val="21"/>
                <w:szCs w:val="21"/>
              </w:rPr>
              <w:br/>
              <w:t>Ancillary &amp; Other Cross-Border Cases</w:t>
            </w:r>
          </w:p>
        </w:tc>
        <w:tc>
          <w:tcPr>
            <w:tcW w:w="0" w:type="auto"/>
            <w:vAlign w:val="center"/>
            <w:hideMark/>
          </w:tcPr>
          <w:p w14:paraId="5D63ADCB" w14:textId="77777777" w:rsidR="005F665A" w:rsidRPr="005F665A" w:rsidRDefault="005F665A" w:rsidP="005F665A">
            <w:pPr>
              <w:spacing w:before="100" w:beforeAutospacing="1" w:after="100" w:afterAutospacing="1" w:line="240" w:lineRule="auto"/>
              <w:rPr>
                <w:rFonts w:ascii="Verdana" w:eastAsia="Times New Roman" w:hAnsi="Verdana" w:cs="Times New Roman"/>
                <w:color w:val="333333"/>
                <w:sz w:val="21"/>
                <w:szCs w:val="21"/>
              </w:rPr>
            </w:pPr>
            <w:r w:rsidRPr="005F665A">
              <w:rPr>
                <w:rFonts w:ascii="Verdana" w:eastAsia="Times New Roman" w:hAnsi="Verdana" w:cs="Times New Roman"/>
                <w:color w:val="333333"/>
                <w:sz w:val="21"/>
                <w:szCs w:val="21"/>
              </w:rPr>
              <w:t>Deals with cases of cross-border insolvency</w:t>
            </w:r>
          </w:p>
        </w:tc>
      </w:tr>
    </w:tbl>
    <w:p w14:paraId="07FF8B27" w14:textId="77777777" w:rsidR="005F665A" w:rsidRDefault="005F665A" w:rsidP="00CA3B25">
      <w:pPr>
        <w:shd w:val="clear" w:color="auto" w:fill="FFFFFF"/>
        <w:spacing w:after="240" w:line="390" w:lineRule="atLeast"/>
        <w:rPr>
          <w:rFonts w:ascii="Segoe UI" w:eastAsia="Times New Roman" w:hAnsi="Segoe UI" w:cs="Segoe UI"/>
          <w:color w:val="212529"/>
          <w:sz w:val="26"/>
          <w:szCs w:val="26"/>
        </w:rPr>
      </w:pPr>
    </w:p>
    <w:p w14:paraId="253627E7" w14:textId="77777777" w:rsidR="00CA3B25" w:rsidRDefault="00CA3B25" w:rsidP="00CA3B25">
      <w:pPr>
        <w:numPr>
          <w:ilvl w:val="0"/>
          <w:numId w:val="1"/>
        </w:numPr>
        <w:shd w:val="clear" w:color="auto" w:fill="FFFFFF"/>
        <w:spacing w:before="100" w:beforeAutospacing="1" w:after="72" w:line="390" w:lineRule="atLeast"/>
        <w:ind w:left="0"/>
        <w:rPr>
          <w:rFonts w:ascii="Segoe UI" w:eastAsia="Times New Roman" w:hAnsi="Segoe UI" w:cs="Segoe UI"/>
          <w:color w:val="212529"/>
          <w:sz w:val="26"/>
          <w:szCs w:val="26"/>
        </w:rPr>
      </w:pPr>
      <w:bookmarkStart w:id="0" w:name="_GoBack"/>
      <w:bookmarkEnd w:id="0"/>
      <w:r w:rsidRPr="00CA3B25">
        <w:rPr>
          <w:rFonts w:ascii="Segoe UI" w:eastAsia="Times New Roman" w:hAnsi="Segoe UI" w:cs="Segoe UI"/>
          <w:b/>
          <w:bCs/>
          <w:color w:val="212529"/>
          <w:sz w:val="26"/>
          <w:szCs w:val="26"/>
        </w:rPr>
        <w:t>Chapter 7</w:t>
      </w:r>
      <w:r w:rsidRPr="00CA3B25">
        <w:rPr>
          <w:rFonts w:ascii="Segoe UI" w:eastAsia="Times New Roman" w:hAnsi="Segoe UI" w:cs="Segoe UI"/>
          <w:color w:val="212529"/>
          <w:sz w:val="26"/>
          <w:szCs w:val="26"/>
        </w:rPr>
        <w:t> </w:t>
      </w:r>
      <w:r>
        <w:rPr>
          <w:rFonts w:ascii="Segoe UI" w:eastAsia="Times New Roman" w:hAnsi="Segoe UI" w:cs="Segoe UI"/>
          <w:color w:val="212529"/>
          <w:sz w:val="26"/>
          <w:szCs w:val="26"/>
        </w:rPr>
        <w:t>–</w:t>
      </w:r>
      <w:r w:rsidRPr="00CA3B25">
        <w:rPr>
          <w:rFonts w:ascii="Segoe UI" w:eastAsia="Times New Roman" w:hAnsi="Segoe UI" w:cs="Segoe UI"/>
          <w:color w:val="212529"/>
          <w:sz w:val="26"/>
          <w:szCs w:val="26"/>
        </w:rPr>
        <w:t xml:space="preserve"> Liquidation</w:t>
      </w:r>
    </w:p>
    <w:p w14:paraId="29A58B88" w14:textId="77777777" w:rsidR="00CA3B25" w:rsidRPr="00CA3B25" w:rsidRDefault="00CA3B25" w:rsidP="00CA3B25">
      <w:pPr>
        <w:shd w:val="clear" w:color="auto" w:fill="FFFFFF"/>
        <w:spacing w:before="100" w:beforeAutospacing="1" w:after="72" w:line="390" w:lineRule="atLeast"/>
        <w:rPr>
          <w:rFonts w:ascii="Segoe UI" w:eastAsia="Times New Roman" w:hAnsi="Segoe UI" w:cs="Segoe UI"/>
          <w:color w:val="212529"/>
          <w:sz w:val="26"/>
          <w:szCs w:val="26"/>
        </w:rPr>
      </w:pPr>
      <w:r>
        <w:rPr>
          <w:rFonts w:ascii="Segoe UI" w:hAnsi="Segoe UI" w:cs="Segoe UI"/>
          <w:color w:val="212529"/>
          <w:sz w:val="26"/>
          <w:szCs w:val="26"/>
          <w:shd w:val="clear" w:color="auto" w:fill="FFFFFF"/>
        </w:rPr>
        <w:t>Reportedly, the most common filing is </w:t>
      </w:r>
      <w:r>
        <w:rPr>
          <w:rFonts w:ascii="Segoe UI" w:hAnsi="Segoe UI" w:cs="Segoe UI"/>
          <w:b/>
          <w:bCs/>
          <w:color w:val="212529"/>
          <w:sz w:val="26"/>
          <w:szCs w:val="26"/>
          <w:shd w:val="clear" w:color="auto" w:fill="FFFFFF"/>
        </w:rPr>
        <w:t>Chapter 7</w:t>
      </w:r>
      <w:r>
        <w:rPr>
          <w:rFonts w:ascii="Segoe UI" w:hAnsi="Segoe UI" w:cs="Segoe UI"/>
          <w:color w:val="212529"/>
          <w:sz w:val="26"/>
          <w:szCs w:val="26"/>
          <w:shd w:val="clear" w:color="auto" w:fill="FFFFFF"/>
        </w:rPr>
        <w:t>. A </w:t>
      </w:r>
      <w:r>
        <w:rPr>
          <w:rFonts w:ascii="Segoe UI" w:hAnsi="Segoe UI" w:cs="Segoe UI"/>
          <w:b/>
          <w:bCs/>
          <w:color w:val="212529"/>
          <w:sz w:val="26"/>
          <w:szCs w:val="26"/>
          <w:shd w:val="clear" w:color="auto" w:fill="FFFFFF"/>
        </w:rPr>
        <w:t>debtor</w:t>
      </w:r>
      <w:r>
        <w:rPr>
          <w:rFonts w:ascii="Segoe UI" w:hAnsi="Segoe UI" w:cs="Segoe UI"/>
          <w:color w:val="212529"/>
          <w:sz w:val="26"/>
          <w:szCs w:val="26"/>
          <w:shd w:val="clear" w:color="auto" w:fill="FFFFFF"/>
        </w:rPr>
        <w:t> filing Chapter 7 is essentially scrapping everything and starting over, hoping for a clean financial slate. </w:t>
      </w:r>
    </w:p>
    <w:p w14:paraId="4EE6A63D" w14:textId="77777777" w:rsidR="00CA3B25" w:rsidRPr="00CA3B25" w:rsidRDefault="00CA3B25" w:rsidP="00CA3B25">
      <w:pPr>
        <w:numPr>
          <w:ilvl w:val="0"/>
          <w:numId w:val="1"/>
        </w:numPr>
        <w:shd w:val="clear" w:color="auto" w:fill="FFFFFF"/>
        <w:spacing w:before="100" w:beforeAutospacing="1" w:after="72" w:line="390" w:lineRule="atLeast"/>
        <w:ind w:left="0"/>
        <w:rPr>
          <w:rFonts w:ascii="Segoe UI" w:eastAsia="Times New Roman" w:hAnsi="Segoe UI" w:cs="Segoe UI"/>
          <w:color w:val="212529"/>
          <w:sz w:val="26"/>
          <w:szCs w:val="26"/>
        </w:rPr>
      </w:pPr>
      <w:r w:rsidRPr="00CA3B25">
        <w:rPr>
          <w:rFonts w:ascii="Segoe UI" w:eastAsia="Times New Roman" w:hAnsi="Segoe UI" w:cs="Segoe UI"/>
          <w:b/>
          <w:bCs/>
          <w:color w:val="212529"/>
          <w:sz w:val="26"/>
          <w:szCs w:val="26"/>
        </w:rPr>
        <w:t>Chapter 11</w:t>
      </w:r>
      <w:r w:rsidRPr="00CA3B25">
        <w:rPr>
          <w:rFonts w:ascii="Segoe UI" w:eastAsia="Times New Roman" w:hAnsi="Segoe UI" w:cs="Segoe UI"/>
          <w:color w:val="212529"/>
          <w:sz w:val="26"/>
          <w:szCs w:val="26"/>
        </w:rPr>
        <w:t> - Reorganization</w:t>
      </w:r>
    </w:p>
    <w:p w14:paraId="01845718" w14:textId="77777777" w:rsidR="00CA3B25" w:rsidRPr="00CA3B25" w:rsidRDefault="00CA3B25" w:rsidP="00CA3B25">
      <w:pPr>
        <w:numPr>
          <w:ilvl w:val="0"/>
          <w:numId w:val="1"/>
        </w:numPr>
        <w:shd w:val="clear" w:color="auto" w:fill="FFFFFF"/>
        <w:spacing w:before="100" w:beforeAutospacing="1" w:after="72" w:line="390" w:lineRule="atLeast"/>
        <w:ind w:left="0"/>
        <w:rPr>
          <w:rFonts w:ascii="Segoe UI" w:eastAsia="Times New Roman" w:hAnsi="Segoe UI" w:cs="Segoe UI"/>
          <w:color w:val="212529"/>
          <w:sz w:val="26"/>
          <w:szCs w:val="26"/>
        </w:rPr>
      </w:pPr>
      <w:r w:rsidRPr="00CA3B25">
        <w:rPr>
          <w:rFonts w:ascii="Segoe UI" w:eastAsia="Times New Roman" w:hAnsi="Segoe UI" w:cs="Segoe UI"/>
          <w:b/>
          <w:bCs/>
          <w:color w:val="212529"/>
          <w:sz w:val="26"/>
          <w:szCs w:val="26"/>
        </w:rPr>
        <w:t>Chapter 12</w:t>
      </w:r>
      <w:r w:rsidRPr="00CA3B25">
        <w:rPr>
          <w:rFonts w:ascii="Segoe UI" w:eastAsia="Times New Roman" w:hAnsi="Segoe UI" w:cs="Segoe UI"/>
          <w:color w:val="212529"/>
          <w:sz w:val="26"/>
          <w:szCs w:val="26"/>
        </w:rPr>
        <w:t> - Adjustment of Debts of a Family Farmer with Regular Annual Income</w:t>
      </w:r>
    </w:p>
    <w:p w14:paraId="4D0DDA88" w14:textId="77777777" w:rsidR="00CA3B25" w:rsidRPr="00CA3B25" w:rsidRDefault="00CA3B25" w:rsidP="00CA3B25">
      <w:pPr>
        <w:numPr>
          <w:ilvl w:val="0"/>
          <w:numId w:val="1"/>
        </w:numPr>
        <w:shd w:val="clear" w:color="auto" w:fill="FFFFFF"/>
        <w:spacing w:before="100" w:beforeAutospacing="1" w:after="72" w:line="390" w:lineRule="atLeast"/>
        <w:ind w:left="0"/>
        <w:rPr>
          <w:rFonts w:ascii="Segoe UI" w:eastAsia="Times New Roman" w:hAnsi="Segoe UI" w:cs="Segoe UI"/>
          <w:color w:val="212529"/>
          <w:sz w:val="26"/>
          <w:szCs w:val="26"/>
        </w:rPr>
      </w:pPr>
      <w:r w:rsidRPr="00CA3B25">
        <w:rPr>
          <w:rFonts w:ascii="Segoe UI" w:eastAsia="Times New Roman" w:hAnsi="Segoe UI" w:cs="Segoe UI"/>
          <w:b/>
          <w:bCs/>
          <w:color w:val="212529"/>
          <w:sz w:val="26"/>
          <w:szCs w:val="26"/>
        </w:rPr>
        <w:t>Chapter 13</w:t>
      </w:r>
      <w:r w:rsidRPr="00CA3B25">
        <w:rPr>
          <w:rFonts w:ascii="Segoe UI" w:eastAsia="Times New Roman" w:hAnsi="Segoe UI" w:cs="Segoe UI"/>
          <w:color w:val="212529"/>
          <w:sz w:val="26"/>
          <w:szCs w:val="26"/>
        </w:rPr>
        <w:t> - Adjustment of Debts of an Individual with Regular Income</w:t>
      </w:r>
    </w:p>
    <w:p w14:paraId="278570B2" w14:textId="77777777" w:rsidR="00272293" w:rsidRDefault="00272293"/>
    <w:p w14:paraId="45412113" w14:textId="77777777" w:rsidR="00CA3B25" w:rsidRPr="00CA3B25" w:rsidRDefault="00CA3B25" w:rsidP="00CA3B25">
      <w:pPr>
        <w:shd w:val="clear" w:color="auto" w:fill="FFFFFF"/>
        <w:spacing w:after="240" w:line="390" w:lineRule="atLeast"/>
        <w:rPr>
          <w:rFonts w:ascii="Segoe UI" w:eastAsia="Times New Roman" w:hAnsi="Segoe UI" w:cs="Segoe UI"/>
          <w:color w:val="212529"/>
          <w:sz w:val="26"/>
          <w:szCs w:val="26"/>
        </w:rPr>
      </w:pPr>
      <w:r w:rsidRPr="00CA3B25">
        <w:rPr>
          <w:rFonts w:ascii="Segoe UI" w:eastAsia="Times New Roman" w:hAnsi="Segoe UI" w:cs="Segoe UI"/>
          <w:color w:val="212529"/>
          <w:sz w:val="26"/>
          <w:szCs w:val="26"/>
        </w:rPr>
        <w:t>You may be wondering why someone would file for Chapter 12 or 13 instead of Chapter 7. There are a couple of reasons for this:</w:t>
      </w:r>
    </w:p>
    <w:p w14:paraId="6E9EA985" w14:textId="77777777" w:rsidR="00CA3B25" w:rsidRPr="00CA3B25" w:rsidRDefault="00CA3B25" w:rsidP="00CA3B25">
      <w:pPr>
        <w:numPr>
          <w:ilvl w:val="0"/>
          <w:numId w:val="2"/>
        </w:numPr>
        <w:shd w:val="clear" w:color="auto" w:fill="FFFFFF"/>
        <w:spacing w:before="100" w:beforeAutospacing="1" w:after="72" w:line="390" w:lineRule="atLeast"/>
        <w:ind w:left="0"/>
        <w:rPr>
          <w:rFonts w:ascii="Segoe UI" w:eastAsia="Times New Roman" w:hAnsi="Segoe UI" w:cs="Segoe UI"/>
          <w:color w:val="212529"/>
          <w:sz w:val="26"/>
          <w:szCs w:val="26"/>
        </w:rPr>
      </w:pPr>
      <w:r w:rsidRPr="00CA3B25">
        <w:rPr>
          <w:rFonts w:ascii="Segoe UI" w:eastAsia="Times New Roman" w:hAnsi="Segoe UI" w:cs="Segoe UI"/>
          <w:color w:val="212529"/>
          <w:sz w:val="26"/>
          <w:szCs w:val="26"/>
        </w:rPr>
        <w:lastRenderedPageBreak/>
        <w:t>Under Chapter 12 and 13 filings, debtors do not have to </w:t>
      </w:r>
      <w:r w:rsidRPr="00CA3B25">
        <w:rPr>
          <w:rFonts w:ascii="Segoe UI" w:eastAsia="Times New Roman" w:hAnsi="Segoe UI" w:cs="Segoe UI"/>
          <w:b/>
          <w:bCs/>
          <w:color w:val="212529"/>
          <w:sz w:val="26"/>
          <w:szCs w:val="26"/>
        </w:rPr>
        <w:t>liquidate</w:t>
      </w:r>
      <w:r w:rsidRPr="00CA3B25">
        <w:rPr>
          <w:rFonts w:ascii="Segoe UI" w:eastAsia="Times New Roman" w:hAnsi="Segoe UI" w:cs="Segoe UI"/>
          <w:color w:val="212529"/>
          <w:sz w:val="26"/>
          <w:szCs w:val="26"/>
        </w:rPr>
        <w:t xml:space="preserve"> their assets -- they </w:t>
      </w:r>
      <w:proofErr w:type="gramStart"/>
      <w:r w:rsidRPr="00CA3B25">
        <w:rPr>
          <w:rFonts w:ascii="Segoe UI" w:eastAsia="Times New Roman" w:hAnsi="Segoe UI" w:cs="Segoe UI"/>
          <w:color w:val="212529"/>
          <w:sz w:val="26"/>
          <w:szCs w:val="26"/>
        </w:rPr>
        <w:t>actually get</w:t>
      </w:r>
      <w:proofErr w:type="gramEnd"/>
      <w:r w:rsidRPr="00CA3B25">
        <w:rPr>
          <w:rFonts w:ascii="Segoe UI" w:eastAsia="Times New Roman" w:hAnsi="Segoe UI" w:cs="Segoe UI"/>
          <w:color w:val="212529"/>
          <w:sz w:val="26"/>
          <w:szCs w:val="26"/>
        </w:rPr>
        <w:t xml:space="preserve"> to keep everything, not just the items that meet the legal exemption.</w:t>
      </w:r>
    </w:p>
    <w:p w14:paraId="57DA486E" w14:textId="77777777" w:rsidR="00CA3B25" w:rsidRPr="00CA3B25" w:rsidRDefault="00CA3B25" w:rsidP="00CA3B25">
      <w:pPr>
        <w:numPr>
          <w:ilvl w:val="0"/>
          <w:numId w:val="2"/>
        </w:numPr>
        <w:shd w:val="clear" w:color="auto" w:fill="FFFFFF"/>
        <w:spacing w:before="100" w:beforeAutospacing="1" w:after="72" w:line="390" w:lineRule="atLeast"/>
        <w:ind w:left="0"/>
        <w:rPr>
          <w:rFonts w:ascii="Segoe UI" w:eastAsia="Times New Roman" w:hAnsi="Segoe UI" w:cs="Segoe UI"/>
          <w:color w:val="212529"/>
          <w:sz w:val="26"/>
          <w:szCs w:val="26"/>
        </w:rPr>
      </w:pPr>
      <w:r w:rsidRPr="00CA3B25">
        <w:rPr>
          <w:rFonts w:ascii="Segoe UI" w:eastAsia="Times New Roman" w:hAnsi="Segoe UI" w:cs="Segoe UI"/>
          <w:color w:val="212529"/>
          <w:sz w:val="26"/>
          <w:szCs w:val="26"/>
        </w:rPr>
        <w:t>In most Chapter 12 and 13 cases, the debtor is repaying only a </w:t>
      </w:r>
      <w:r w:rsidRPr="00CA3B25">
        <w:rPr>
          <w:rFonts w:ascii="Segoe UI" w:eastAsia="Times New Roman" w:hAnsi="Segoe UI" w:cs="Segoe UI"/>
          <w:b/>
          <w:bCs/>
          <w:color w:val="212529"/>
          <w:sz w:val="26"/>
          <w:szCs w:val="26"/>
        </w:rPr>
        <w:t>percentage</w:t>
      </w:r>
      <w:r w:rsidRPr="00CA3B25">
        <w:rPr>
          <w:rFonts w:ascii="Segoe UI" w:eastAsia="Times New Roman" w:hAnsi="Segoe UI" w:cs="Segoe UI"/>
          <w:color w:val="212529"/>
          <w:sz w:val="26"/>
          <w:szCs w:val="26"/>
        </w:rPr>
        <w:t xml:space="preserve"> of what he or she </w:t>
      </w:r>
      <w:proofErr w:type="gramStart"/>
      <w:r w:rsidRPr="00CA3B25">
        <w:rPr>
          <w:rFonts w:ascii="Segoe UI" w:eastAsia="Times New Roman" w:hAnsi="Segoe UI" w:cs="Segoe UI"/>
          <w:color w:val="212529"/>
          <w:sz w:val="26"/>
          <w:szCs w:val="26"/>
        </w:rPr>
        <w:t>actually owes</w:t>
      </w:r>
      <w:proofErr w:type="gramEnd"/>
      <w:r w:rsidRPr="00CA3B25">
        <w:rPr>
          <w:rFonts w:ascii="Segoe UI" w:eastAsia="Times New Roman" w:hAnsi="Segoe UI" w:cs="Segoe UI"/>
          <w:color w:val="212529"/>
          <w:sz w:val="26"/>
          <w:szCs w:val="26"/>
        </w:rPr>
        <w:t xml:space="preserve"> -- sometimes as little as 30 cents to 50 cents on the dollar!</w:t>
      </w:r>
    </w:p>
    <w:p w14:paraId="6C197A33" w14:textId="77777777" w:rsidR="00CA3B25" w:rsidRDefault="00CA3B25"/>
    <w:p w14:paraId="2871F95B" w14:textId="77777777" w:rsidR="00CA3B25" w:rsidRDefault="00CA3B25">
      <w:pPr>
        <w:rPr>
          <w:rFonts w:ascii="Segoe UI" w:hAnsi="Segoe UI" w:cs="Segoe UI"/>
          <w:color w:val="212529"/>
          <w:sz w:val="26"/>
          <w:szCs w:val="26"/>
          <w:shd w:val="clear" w:color="auto" w:fill="FFFFFF"/>
        </w:rPr>
      </w:pPr>
      <w:r>
        <w:rPr>
          <w:rFonts w:ascii="Segoe UI" w:hAnsi="Segoe UI" w:cs="Segoe UI"/>
          <w:b/>
          <w:bCs/>
          <w:color w:val="212529"/>
          <w:sz w:val="26"/>
          <w:szCs w:val="26"/>
          <w:shd w:val="clear" w:color="auto" w:fill="FFFFFF"/>
        </w:rPr>
        <w:t>Chapter 11</w:t>
      </w:r>
      <w:r>
        <w:rPr>
          <w:rFonts w:ascii="Segoe UI" w:hAnsi="Segoe UI" w:cs="Segoe UI"/>
          <w:color w:val="212529"/>
          <w:sz w:val="26"/>
          <w:szCs w:val="26"/>
          <w:shd w:val="clear" w:color="auto" w:fill="FFFFFF"/>
        </w:rPr>
        <w:t> bankruptcy is very similar to Chapter 13. The main difference is that there is no limit regarding the amount of money owed by the debtor. Originally only intended for large corporations, individuals can now file Chapter 11 as well.</w:t>
      </w:r>
    </w:p>
    <w:p w14:paraId="3777D13B" w14:textId="77777777" w:rsidR="0043605F" w:rsidRDefault="0043605F"/>
    <w:p w14:paraId="0AA28E9E" w14:textId="77777777" w:rsidR="0043605F" w:rsidRDefault="0043605F">
      <w:r>
        <w:rPr>
          <w:noProof/>
        </w:rPr>
        <w:drawing>
          <wp:inline distT="0" distB="0" distL="0" distR="0" wp14:anchorId="4F35DBBA" wp14:editId="603B445D">
            <wp:extent cx="5924550" cy="3381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24550" cy="3381375"/>
                    </a:xfrm>
                    <a:prstGeom prst="rect">
                      <a:avLst/>
                    </a:prstGeom>
                  </pic:spPr>
                </pic:pic>
              </a:graphicData>
            </a:graphic>
          </wp:inline>
        </w:drawing>
      </w:r>
    </w:p>
    <w:p w14:paraId="1945F022" w14:textId="77777777" w:rsidR="00682604" w:rsidRDefault="00682604"/>
    <w:p w14:paraId="2B1A0CB0" w14:textId="77777777" w:rsidR="00682604" w:rsidRDefault="00682604">
      <w:r>
        <w:rPr>
          <w:noProof/>
        </w:rPr>
        <w:lastRenderedPageBreak/>
        <w:drawing>
          <wp:inline distT="0" distB="0" distL="0" distR="0" wp14:anchorId="5CBA7CCC" wp14:editId="79529637">
            <wp:extent cx="5292590" cy="50901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10214" cy="5107110"/>
                    </a:xfrm>
                    <a:prstGeom prst="rect">
                      <a:avLst/>
                    </a:prstGeom>
                  </pic:spPr>
                </pic:pic>
              </a:graphicData>
            </a:graphic>
          </wp:inline>
        </w:drawing>
      </w:r>
    </w:p>
    <w:p w14:paraId="21658897" w14:textId="17A48DAA" w:rsidR="00682604" w:rsidRDefault="00682604">
      <w:r>
        <w:rPr>
          <w:noProof/>
        </w:rPr>
        <w:drawing>
          <wp:inline distT="0" distB="0" distL="0" distR="0" wp14:anchorId="7059C2B3" wp14:editId="3E8F3DA5">
            <wp:extent cx="5471160" cy="2511708"/>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1498" cy="2557771"/>
                    </a:xfrm>
                    <a:prstGeom prst="rect">
                      <a:avLst/>
                    </a:prstGeom>
                  </pic:spPr>
                </pic:pic>
              </a:graphicData>
            </a:graphic>
          </wp:inline>
        </w:drawing>
      </w:r>
    </w:p>
    <w:p w14:paraId="1EDB69AF" w14:textId="62721785" w:rsidR="009D1F62" w:rsidRDefault="009D1F62"/>
    <w:p w14:paraId="4DFD24F4" w14:textId="630B5D95" w:rsidR="009D1F62" w:rsidRDefault="009D1F62">
      <w:r>
        <w:rPr>
          <w:rFonts w:ascii="Segoe UI" w:hAnsi="Segoe UI" w:cs="Segoe UI"/>
          <w:color w:val="212529"/>
          <w:sz w:val="26"/>
          <w:szCs w:val="26"/>
          <w:shd w:val="clear" w:color="auto" w:fill="F2F8FB"/>
        </w:rPr>
        <w:lastRenderedPageBreak/>
        <w:t>In addition to the federal bankruptcy laws, each state has its own provisions for handling bankruptcies within that state. For the most part, the differences have to do with income and debt limits that debtors must meet to be eligible for filing under each chapter. There are also differences in the time limits given for reorganization plans, income subject to liquidation, exempt assets and other details. In the past, these differences led debtors (particularly corporations) to "shop around" for the state with the best possible terms. The Bankruptcy Abuse Prevention and Consumer Protection Act of 2005 requires anyone filing for bankruptcy in a state to have lived in that state for two years prior to the filing.</w:t>
      </w:r>
    </w:p>
    <w:sectPr w:rsidR="009D1F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EA6E2B"/>
    <w:multiLevelType w:val="multilevel"/>
    <w:tmpl w:val="933E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C473DC"/>
    <w:multiLevelType w:val="multilevel"/>
    <w:tmpl w:val="06DEA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B25"/>
    <w:rsid w:val="00272293"/>
    <w:rsid w:val="00325317"/>
    <w:rsid w:val="0043605F"/>
    <w:rsid w:val="004E72D0"/>
    <w:rsid w:val="00560AD8"/>
    <w:rsid w:val="005F665A"/>
    <w:rsid w:val="00682604"/>
    <w:rsid w:val="008D78AE"/>
    <w:rsid w:val="009D1F62"/>
    <w:rsid w:val="00A763DB"/>
    <w:rsid w:val="00CA3B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AD909"/>
  <w15:chartTrackingRefBased/>
  <w15:docId w15:val="{B50C2241-B51D-4F28-AE29-E06D427DD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A3B2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F66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8133425">
      <w:bodyDiv w:val="1"/>
      <w:marLeft w:val="0"/>
      <w:marRight w:val="0"/>
      <w:marTop w:val="0"/>
      <w:marBottom w:val="0"/>
      <w:divBdr>
        <w:top w:val="none" w:sz="0" w:space="0" w:color="auto"/>
        <w:left w:val="none" w:sz="0" w:space="0" w:color="auto"/>
        <w:bottom w:val="none" w:sz="0" w:space="0" w:color="auto"/>
        <w:right w:val="none" w:sz="0" w:space="0" w:color="auto"/>
      </w:divBdr>
    </w:div>
    <w:div w:id="1781601895">
      <w:bodyDiv w:val="1"/>
      <w:marLeft w:val="0"/>
      <w:marRight w:val="0"/>
      <w:marTop w:val="0"/>
      <w:marBottom w:val="0"/>
      <w:divBdr>
        <w:top w:val="none" w:sz="0" w:space="0" w:color="auto"/>
        <w:left w:val="none" w:sz="0" w:space="0" w:color="auto"/>
        <w:bottom w:val="none" w:sz="0" w:space="0" w:color="auto"/>
        <w:right w:val="none" w:sz="0" w:space="0" w:color="auto"/>
      </w:divBdr>
    </w:div>
    <w:div w:id="1856454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456C6B9C08F8F49930D96F64FEDBF75" ma:contentTypeVersion="13" ma:contentTypeDescription="Create a new document." ma:contentTypeScope="" ma:versionID="309c5359d5a70c12679717d40f342997">
  <xsd:schema xmlns:xsd="http://www.w3.org/2001/XMLSchema" xmlns:xs="http://www.w3.org/2001/XMLSchema" xmlns:p="http://schemas.microsoft.com/office/2006/metadata/properties" xmlns:ns3="f402e8e9-2893-4aa7-a6de-64ef17598c45" xmlns:ns4="24b2dee3-28be-4ea6-9fa1-ef7437332cd4" targetNamespace="http://schemas.microsoft.com/office/2006/metadata/properties" ma:root="true" ma:fieldsID="e0d9d790f6a5d4dd2f4555c21f31ae7f" ns3:_="" ns4:_="">
    <xsd:import namespace="f402e8e9-2893-4aa7-a6de-64ef17598c45"/>
    <xsd:import namespace="24b2dee3-28be-4ea6-9fa1-ef7437332cd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402e8e9-2893-4aa7-a6de-64ef17598c4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b2dee3-28be-4ea6-9fa1-ef7437332cd4"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2A60C75-8252-4244-9F53-5F2E9B25DF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402e8e9-2893-4aa7-a6de-64ef17598c45"/>
    <ds:schemaRef ds:uri="24b2dee3-28be-4ea6-9fa1-ef7437332c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F41D0D-5222-4544-8444-993FE215C26F}">
  <ds:schemaRefs>
    <ds:schemaRef ds:uri="http://schemas.microsoft.com/sharepoint/v3/contenttype/forms"/>
  </ds:schemaRefs>
</ds:datastoreItem>
</file>

<file path=customXml/itemProps3.xml><?xml version="1.0" encoding="utf-8"?>
<ds:datastoreItem xmlns:ds="http://schemas.openxmlformats.org/officeDocument/2006/customXml" ds:itemID="{54788E94-EEB3-4E3A-B8CE-235DCF40ABC8}">
  <ds:schemaRefs>
    <ds:schemaRef ds:uri="http://schemas.openxmlformats.org/package/2006/metadata/core-properties"/>
    <ds:schemaRef ds:uri="http://schemas.microsoft.com/office/2006/documentManagement/types"/>
    <ds:schemaRef ds:uri="24b2dee3-28be-4ea6-9fa1-ef7437332cd4"/>
    <ds:schemaRef ds:uri="http://purl.org/dc/elements/1.1/"/>
    <ds:schemaRef ds:uri="http://schemas.microsoft.com/office/2006/metadata/properties"/>
    <ds:schemaRef ds:uri="f402e8e9-2893-4aa7-a6de-64ef17598c45"/>
    <ds:schemaRef ds:uri="http://purl.org/dc/terms/"/>
    <ds:schemaRef ds:uri="http://schemas.microsoft.com/office/infopath/2007/PartnerControl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1459</TotalTime>
  <Pages>4</Pages>
  <Words>395</Words>
  <Characters>2253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Ping</dc:creator>
  <cp:keywords/>
  <dc:description/>
  <cp:lastModifiedBy>Zhou, Ping</cp:lastModifiedBy>
  <cp:revision>8</cp:revision>
  <dcterms:created xsi:type="dcterms:W3CDTF">2020-07-12T01:53:00Z</dcterms:created>
  <dcterms:modified xsi:type="dcterms:W3CDTF">2020-07-13T02:12:00Z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0x010100C456C6B9C08F8F49930D96F64FEDBF75</vt:lpwstr>
  </property>
</Properties>
</file>