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Which zipcodes are preferred for investors?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 Typical Renter’s occupations in those zip codes?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 Average days on market for lease.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Vacancy rate.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Demographic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M&amp;M cost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Average rate of return (Cap rate/cash-on-cash return)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What is the average property management fee? Can you manage my property, if not, can you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 reliable property managers to me. Can you refer lenders/insurance agents/contractors to 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Is this city/area landlord friendly or tenants friendly?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Are you mainly working with retail buyers/sellers or investors. Are you an investor. Do you have any investment properties, in what area.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Do I have to sign an exclusive agent agreement with you. How long does the agreement last. If it lasts 6 months and I couldn’t find a property I’d like to purchase, do we have to renew the agreement.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 Do you have a recommended PM? How do you work with them?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 Do you have recommended contractors? How do you work with them?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What’s the average build year in the area? What are the average fix-and-flip costs?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