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4CC" w:rsidRPr="003B58A6" w:rsidRDefault="003205A8" w:rsidP="001816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58A6">
        <w:rPr>
          <w:sz w:val="24"/>
          <w:szCs w:val="24"/>
        </w:rPr>
        <w:t>The</w:t>
      </w:r>
      <w:r w:rsidR="001E1C15" w:rsidRPr="003B58A6">
        <w:rPr>
          <w:sz w:val="24"/>
          <w:szCs w:val="24"/>
        </w:rPr>
        <w:t xml:space="preserve"> p</w:t>
      </w:r>
      <w:r w:rsidRPr="003B58A6">
        <w:rPr>
          <w:sz w:val="24"/>
          <w:szCs w:val="24"/>
        </w:rPr>
        <w:t xml:space="preserve">opulation of </w:t>
      </w:r>
      <w:r w:rsidR="001E1C15" w:rsidRPr="003B58A6">
        <w:rPr>
          <w:sz w:val="24"/>
          <w:szCs w:val="24"/>
        </w:rPr>
        <w:t xml:space="preserve">the </w:t>
      </w:r>
      <w:r w:rsidRPr="003B58A6">
        <w:rPr>
          <w:sz w:val="24"/>
          <w:szCs w:val="24"/>
        </w:rPr>
        <w:t>Hamilton</w:t>
      </w:r>
      <w:r w:rsidR="001E1C15" w:rsidRPr="003B58A6">
        <w:rPr>
          <w:sz w:val="24"/>
          <w:szCs w:val="24"/>
        </w:rPr>
        <w:t xml:space="preserve"> census metropolitan area, including </w:t>
      </w:r>
      <w:r w:rsidR="00F93646" w:rsidRPr="003B58A6">
        <w:rPr>
          <w:sz w:val="24"/>
          <w:szCs w:val="24"/>
        </w:rPr>
        <w:t>Burlington</w:t>
      </w:r>
      <w:r w:rsidR="001E1C15" w:rsidRPr="003B58A6">
        <w:rPr>
          <w:sz w:val="24"/>
          <w:szCs w:val="24"/>
        </w:rPr>
        <w:t xml:space="preserve"> and Grimsby,</w:t>
      </w:r>
      <w:r w:rsidRPr="003B58A6">
        <w:rPr>
          <w:sz w:val="24"/>
          <w:szCs w:val="24"/>
        </w:rPr>
        <w:t xml:space="preserve"> in 2020 is 767,000. The</w:t>
      </w:r>
      <w:r w:rsidR="005D6F6E" w:rsidRPr="003B58A6">
        <w:rPr>
          <w:sz w:val="24"/>
          <w:szCs w:val="24"/>
        </w:rPr>
        <w:t xml:space="preserve"> population</w:t>
      </w:r>
      <w:r w:rsidRPr="003B58A6">
        <w:rPr>
          <w:sz w:val="24"/>
          <w:szCs w:val="24"/>
        </w:rPr>
        <w:t xml:space="preserve"> growth rates of the past 10 years are 0.52%, 0.53%, 0.66%, 0.8%, 0.67%, </w:t>
      </w:r>
      <w:r w:rsidR="005D6F6E" w:rsidRPr="003B58A6">
        <w:rPr>
          <w:sz w:val="24"/>
          <w:szCs w:val="24"/>
        </w:rPr>
        <w:t>0.68%, 0.82%, 0.69%, 0.69%, and 0.84% respectively.</w:t>
      </w:r>
      <w:r w:rsidR="0089406C" w:rsidRPr="003B58A6">
        <w:rPr>
          <w:rStyle w:val="FootnoteReference"/>
          <w:sz w:val="24"/>
          <w:szCs w:val="24"/>
        </w:rPr>
        <w:footnoteReference w:id="1"/>
      </w:r>
    </w:p>
    <w:p w:rsidR="00181676" w:rsidRPr="003B58A6" w:rsidRDefault="00181676" w:rsidP="001816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58A6">
        <w:rPr>
          <w:sz w:val="24"/>
          <w:szCs w:val="24"/>
        </w:rPr>
        <w:t>Hamilton's largest industry sectors in 2018</w:t>
      </w:r>
      <w:r w:rsidR="0089406C" w:rsidRPr="003B58A6">
        <w:rPr>
          <w:sz w:val="24"/>
          <w:szCs w:val="24"/>
        </w:rPr>
        <w:t xml:space="preserve"> </w:t>
      </w:r>
      <w:r w:rsidRPr="003B58A6">
        <w:rPr>
          <w:sz w:val="24"/>
          <w:szCs w:val="24"/>
        </w:rPr>
        <w:t>are:</w:t>
      </w:r>
      <w:r w:rsidR="0089406C" w:rsidRPr="003B58A6">
        <w:rPr>
          <w:rStyle w:val="FootnoteReference"/>
          <w:sz w:val="24"/>
          <w:szCs w:val="24"/>
        </w:rPr>
        <w:footnoteReference w:id="2"/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Advanced Manufacturing: engineering, product design, steel manufacturing, fabricated metal products and final product commercialization, automotive, aerospace&amp; defence, machinery, chemical manufacturing, and transportation equipment  ($12 Billion)</w:t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Life Sciences ($4 Billion)</w:t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Agribusiness and Food Processi</w:t>
      </w:r>
      <w:r w:rsidR="0036228A">
        <w:rPr>
          <w:sz w:val="24"/>
          <w:szCs w:val="24"/>
        </w:rPr>
        <w:t>ng ($</w:t>
      </w:r>
      <w:r w:rsidRPr="003B58A6">
        <w:rPr>
          <w:sz w:val="24"/>
          <w:szCs w:val="24"/>
        </w:rPr>
        <w:t>1 Billion)</w:t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Tourism (</w:t>
      </w:r>
      <w:r w:rsidR="0036228A">
        <w:rPr>
          <w:sz w:val="24"/>
          <w:szCs w:val="24"/>
        </w:rPr>
        <w:t>$</w:t>
      </w:r>
      <w:r w:rsidRPr="003B58A6">
        <w:rPr>
          <w:sz w:val="24"/>
          <w:szCs w:val="24"/>
        </w:rPr>
        <w:t>530 Million)</w:t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Creative Industries: film productions ($60 Million)</w:t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Finance, Insurance, and Real Estate</w:t>
      </w:r>
    </w:p>
    <w:p w:rsidR="0089406C" w:rsidRPr="003B58A6" w:rsidRDefault="0089406C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Digital Media, Information and Communication Technology</w:t>
      </w:r>
    </w:p>
    <w:p w:rsidR="00181676" w:rsidRPr="003B58A6" w:rsidRDefault="00181676" w:rsidP="0018167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58A6">
        <w:rPr>
          <w:sz w:val="24"/>
          <w:szCs w:val="24"/>
        </w:rPr>
        <w:t>Goods Movement</w:t>
      </w:r>
    </w:p>
    <w:p w:rsidR="00181676" w:rsidRPr="003B58A6" w:rsidRDefault="0036228A" w:rsidP="00181676">
      <w:pPr>
        <w:ind w:left="720"/>
        <w:rPr>
          <w:sz w:val="24"/>
          <w:szCs w:val="24"/>
        </w:rPr>
      </w:pPr>
      <w:r>
        <w:rPr>
          <w:sz w:val="24"/>
          <w:szCs w:val="24"/>
        </w:rPr>
        <w:t>The median household income based on 2018 and 2019 data is $76,193.</w:t>
      </w:r>
      <w:r>
        <w:rPr>
          <w:rStyle w:val="FootnoteReference"/>
          <w:sz w:val="24"/>
          <w:szCs w:val="24"/>
        </w:rPr>
        <w:footnoteReference w:id="3"/>
      </w:r>
      <w:r>
        <w:rPr>
          <w:sz w:val="24"/>
          <w:szCs w:val="24"/>
        </w:rPr>
        <w:t xml:space="preserve"> U</w:t>
      </w:r>
      <w:r w:rsidR="00181676" w:rsidRPr="003B58A6">
        <w:rPr>
          <w:sz w:val="24"/>
          <w:szCs w:val="24"/>
        </w:rPr>
        <w:t>nemployme</w:t>
      </w:r>
      <w:r w:rsidR="002F6D9A" w:rsidRPr="003B58A6">
        <w:rPr>
          <w:sz w:val="24"/>
          <w:szCs w:val="24"/>
        </w:rPr>
        <w:t>nt rate for the timeframe 2017-2018 i</w:t>
      </w:r>
      <w:r w:rsidR="003B58A6">
        <w:rPr>
          <w:sz w:val="24"/>
          <w:szCs w:val="24"/>
        </w:rPr>
        <w:t xml:space="preserve">s </w:t>
      </w:r>
      <w:r w:rsidR="00181676" w:rsidRPr="003B58A6">
        <w:rPr>
          <w:sz w:val="24"/>
          <w:szCs w:val="24"/>
        </w:rPr>
        <w:t>5</w:t>
      </w:r>
      <w:r w:rsidR="003B58A6">
        <w:rPr>
          <w:sz w:val="24"/>
          <w:szCs w:val="24"/>
        </w:rPr>
        <w:t>.</w:t>
      </w:r>
      <w:r w:rsidR="00181676" w:rsidRPr="003B58A6">
        <w:rPr>
          <w:sz w:val="24"/>
          <w:szCs w:val="24"/>
        </w:rPr>
        <w:t>6</w:t>
      </w:r>
      <w:r w:rsidR="003B58A6">
        <w:rPr>
          <w:sz w:val="24"/>
          <w:szCs w:val="24"/>
        </w:rPr>
        <w:t>%</w:t>
      </w:r>
      <w:r w:rsidR="002F6D9A" w:rsidRPr="003B58A6">
        <w:rPr>
          <w:sz w:val="24"/>
          <w:szCs w:val="24"/>
        </w:rPr>
        <w:t>.</w:t>
      </w:r>
      <w:r w:rsidR="0089406C" w:rsidRPr="003B58A6">
        <w:rPr>
          <w:rStyle w:val="FootnoteReference"/>
          <w:sz w:val="24"/>
          <w:szCs w:val="24"/>
        </w:rPr>
        <w:footnoteReference w:id="4"/>
      </w:r>
      <w:r w:rsidR="003B58A6">
        <w:rPr>
          <w:sz w:val="24"/>
          <w:szCs w:val="24"/>
        </w:rPr>
        <w:t xml:space="preserve"> </w:t>
      </w:r>
    </w:p>
    <w:p w:rsidR="00693178" w:rsidRPr="003B58A6" w:rsidRDefault="00693178" w:rsidP="00181676">
      <w:pPr>
        <w:ind w:left="720"/>
        <w:rPr>
          <w:sz w:val="24"/>
          <w:szCs w:val="24"/>
        </w:rPr>
      </w:pPr>
      <w:r w:rsidRPr="003B58A6">
        <w:rPr>
          <w:sz w:val="24"/>
          <w:szCs w:val="24"/>
        </w:rPr>
        <w:t>Table 1. Employment by Sectors, Hamilton, 2016~2017</w:t>
      </w:r>
      <w:r w:rsidR="003B58A6" w:rsidRPr="003B58A6">
        <w:rPr>
          <w:rStyle w:val="FootnoteReference"/>
          <w:sz w:val="24"/>
          <w:szCs w:val="24"/>
        </w:rPr>
        <w:footnoteReference w:id="5"/>
      </w:r>
    </w:p>
    <w:tbl>
      <w:tblPr>
        <w:tblW w:w="9087" w:type="dxa"/>
        <w:tblInd w:w="93" w:type="dxa"/>
        <w:tblLook w:val="04A0"/>
      </w:tblPr>
      <w:tblGrid>
        <w:gridCol w:w="3701"/>
        <w:gridCol w:w="2179"/>
        <w:gridCol w:w="2215"/>
        <w:gridCol w:w="1116"/>
      </w:tblGrid>
      <w:tr w:rsidR="003B58A6" w:rsidRPr="003B58A6" w:rsidTr="003B58A6">
        <w:trPr>
          <w:trHeight w:val="315"/>
        </w:trPr>
        <w:tc>
          <w:tcPr>
            <w:tcW w:w="3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Employment Sector</w:t>
            </w:r>
          </w:p>
        </w:tc>
        <w:tc>
          <w:tcPr>
            <w:tcW w:w="21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2016_In_Thousands</w:t>
            </w:r>
          </w:p>
        </w:tc>
        <w:tc>
          <w:tcPr>
            <w:tcW w:w="22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2017_In_Thousands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Change%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Education &amp; Healthcare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86.7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Professional, Financial &amp; Support Services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Wholesale &amp; Retail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61.2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Manufacturing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44.3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Hospitality &amp; Entertainment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Construction &amp; Utilities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Public Administration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Transportation &amp; Warehousing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Other Services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Agriculture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</w:tr>
      <w:tr w:rsidR="003B58A6" w:rsidRPr="003B58A6" w:rsidTr="003B58A6">
        <w:trPr>
          <w:trHeight w:val="30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395.2</w:t>
            </w:r>
          </w:p>
        </w:tc>
        <w:tc>
          <w:tcPr>
            <w:tcW w:w="2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416.9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58A6" w:rsidRPr="003B58A6" w:rsidRDefault="003B58A6" w:rsidP="003B58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3B58A6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</w:t>
            </w:r>
          </w:p>
        </w:tc>
      </w:tr>
    </w:tbl>
    <w:p w:rsidR="0036228A" w:rsidRDefault="0036228A" w:rsidP="00181676">
      <w:pPr>
        <w:ind w:left="720"/>
        <w:rPr>
          <w:sz w:val="24"/>
          <w:szCs w:val="24"/>
        </w:rPr>
      </w:pPr>
    </w:p>
    <w:p w:rsidR="00E43EAA" w:rsidRPr="003B58A6" w:rsidRDefault="00B003E2" w:rsidP="00181676">
      <w:pPr>
        <w:ind w:left="720"/>
        <w:rPr>
          <w:sz w:val="24"/>
          <w:szCs w:val="24"/>
        </w:rPr>
      </w:pPr>
      <w:r w:rsidRPr="003B58A6">
        <w:rPr>
          <w:sz w:val="24"/>
          <w:szCs w:val="24"/>
        </w:rPr>
        <w:t>Large</w:t>
      </w:r>
      <w:r w:rsidR="00E43EAA" w:rsidRPr="003B58A6">
        <w:rPr>
          <w:sz w:val="24"/>
          <w:szCs w:val="24"/>
        </w:rPr>
        <w:t xml:space="preserve"> employers </w:t>
      </w:r>
      <w:r w:rsidRPr="003B58A6">
        <w:rPr>
          <w:sz w:val="24"/>
          <w:szCs w:val="24"/>
        </w:rPr>
        <w:t>include:</w:t>
      </w:r>
      <w:r w:rsidR="00E43EAA" w:rsidRPr="003B58A6">
        <w:rPr>
          <w:sz w:val="24"/>
          <w:szCs w:val="24"/>
        </w:rPr>
        <w:t xml:space="preserve"> McMaster University (15,900</w:t>
      </w:r>
      <w:r w:rsidRPr="003B58A6">
        <w:rPr>
          <w:sz w:val="24"/>
          <w:szCs w:val="24"/>
        </w:rPr>
        <w:t xml:space="preserve"> employees</w:t>
      </w:r>
      <w:r w:rsidR="00E43EAA" w:rsidRPr="003B58A6">
        <w:rPr>
          <w:sz w:val="24"/>
          <w:szCs w:val="24"/>
        </w:rPr>
        <w:t xml:space="preserve">), Hamilton Health Sciences (15,000), The City of Hamilton (6,725), and </w:t>
      </w:r>
      <w:proofErr w:type="spellStart"/>
      <w:r w:rsidR="00E43EAA" w:rsidRPr="003B58A6">
        <w:rPr>
          <w:sz w:val="24"/>
          <w:szCs w:val="24"/>
        </w:rPr>
        <w:t>Arcelor</w:t>
      </w:r>
      <w:proofErr w:type="spellEnd"/>
      <w:r w:rsidR="00E43EAA" w:rsidRPr="003B58A6">
        <w:rPr>
          <w:sz w:val="24"/>
          <w:szCs w:val="24"/>
        </w:rPr>
        <w:t xml:space="preserve"> </w:t>
      </w:r>
      <w:proofErr w:type="spellStart"/>
      <w:r w:rsidR="00E43EAA" w:rsidRPr="003B58A6">
        <w:rPr>
          <w:sz w:val="24"/>
          <w:szCs w:val="24"/>
        </w:rPr>
        <w:t>Mittal</w:t>
      </w:r>
      <w:proofErr w:type="spellEnd"/>
      <w:r w:rsidR="00E43EAA" w:rsidRPr="003B58A6">
        <w:rPr>
          <w:sz w:val="24"/>
          <w:szCs w:val="24"/>
        </w:rPr>
        <w:t xml:space="preserve"> Dofasco(5,000).</w:t>
      </w:r>
      <w:r w:rsidR="0089406C" w:rsidRPr="003B58A6">
        <w:rPr>
          <w:rStyle w:val="FootnoteReference"/>
          <w:sz w:val="24"/>
          <w:szCs w:val="24"/>
        </w:rPr>
        <w:footnoteReference w:id="6"/>
      </w:r>
    </w:p>
    <w:p w:rsidR="00E43EAA" w:rsidRPr="003B58A6" w:rsidRDefault="00B003E2" w:rsidP="00181676">
      <w:pPr>
        <w:ind w:left="720"/>
        <w:rPr>
          <w:sz w:val="24"/>
          <w:szCs w:val="24"/>
        </w:rPr>
      </w:pPr>
      <w:r w:rsidRPr="003B58A6">
        <w:rPr>
          <w:sz w:val="24"/>
          <w:szCs w:val="24"/>
        </w:rPr>
        <w:t xml:space="preserve">Hamilton is home to </w:t>
      </w:r>
      <w:r w:rsidR="0089406C" w:rsidRPr="003B58A6">
        <w:rPr>
          <w:sz w:val="24"/>
          <w:szCs w:val="24"/>
        </w:rPr>
        <w:t>Hamilton International Airport</w:t>
      </w:r>
      <w:r w:rsidRPr="003B58A6">
        <w:rPr>
          <w:sz w:val="24"/>
          <w:szCs w:val="24"/>
        </w:rPr>
        <w:t xml:space="preserve">, McMaster University, Mohawk College, Redeemer University, </w:t>
      </w:r>
      <w:r w:rsidR="0096324D" w:rsidRPr="003B58A6">
        <w:rPr>
          <w:sz w:val="24"/>
          <w:szCs w:val="24"/>
        </w:rPr>
        <w:t xml:space="preserve">six hospitals, including </w:t>
      </w:r>
      <w:r w:rsidRPr="003B58A6">
        <w:rPr>
          <w:sz w:val="24"/>
          <w:szCs w:val="24"/>
        </w:rPr>
        <w:t xml:space="preserve">Hamilton General Hospital, McMaster Children's Hospital, </w:t>
      </w:r>
      <w:proofErr w:type="spellStart"/>
      <w:r w:rsidRPr="003B58A6">
        <w:rPr>
          <w:sz w:val="24"/>
          <w:szCs w:val="24"/>
        </w:rPr>
        <w:t>Juravinski</w:t>
      </w:r>
      <w:proofErr w:type="spellEnd"/>
      <w:r w:rsidRPr="003B58A6">
        <w:rPr>
          <w:sz w:val="24"/>
          <w:szCs w:val="24"/>
        </w:rPr>
        <w:t xml:space="preserve"> Cancer Centre, St. Joseph's Hospital, St. Peter's </w:t>
      </w:r>
      <w:r w:rsidR="0096324D" w:rsidRPr="003B58A6">
        <w:rPr>
          <w:sz w:val="24"/>
          <w:szCs w:val="24"/>
        </w:rPr>
        <w:t xml:space="preserve">Geriatric Hospital, and </w:t>
      </w:r>
      <w:r w:rsidRPr="003B58A6">
        <w:rPr>
          <w:sz w:val="24"/>
          <w:szCs w:val="24"/>
        </w:rPr>
        <w:t>West</w:t>
      </w:r>
      <w:r w:rsidR="0096324D" w:rsidRPr="003B58A6">
        <w:rPr>
          <w:sz w:val="24"/>
          <w:szCs w:val="24"/>
        </w:rPr>
        <w:t xml:space="preserve"> Lincoln Memorial Hospital, and Lime Ridge Mall.</w:t>
      </w:r>
    </w:p>
    <w:p w:rsidR="00181676" w:rsidRPr="003B58A6" w:rsidRDefault="00181676" w:rsidP="00181676">
      <w:pPr>
        <w:pStyle w:val="ListParagraph"/>
        <w:ind w:left="1440"/>
        <w:rPr>
          <w:sz w:val="24"/>
          <w:szCs w:val="24"/>
        </w:rPr>
      </w:pPr>
    </w:p>
    <w:p w:rsidR="00181676" w:rsidRPr="009006A7" w:rsidRDefault="00D43696" w:rsidP="00D43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006A7">
        <w:rPr>
          <w:rFonts w:cstheme="minorHAnsi"/>
          <w:color w:val="222222"/>
          <w:shd w:val="clear" w:color="auto" w:fill="FFFFFF"/>
        </w:rPr>
        <w:t xml:space="preserve">The average sold prices on MLS </w:t>
      </w:r>
      <w:r w:rsidR="009006A7" w:rsidRPr="009006A7">
        <w:rPr>
          <w:rFonts w:cstheme="minorHAnsi"/>
          <w:color w:val="222222"/>
          <w:shd w:val="clear" w:color="auto" w:fill="FFFFFF"/>
        </w:rPr>
        <w:t>over</w:t>
      </w:r>
      <w:r w:rsidRPr="009006A7">
        <w:rPr>
          <w:rFonts w:cstheme="minorHAnsi"/>
          <w:color w:val="222222"/>
          <w:shd w:val="clear" w:color="auto" w:fill="FFFFFF"/>
        </w:rPr>
        <w:t xml:space="preserve"> the </w:t>
      </w:r>
      <w:r w:rsidR="009006A7" w:rsidRPr="009006A7">
        <w:rPr>
          <w:rFonts w:cstheme="minorHAnsi"/>
          <w:color w:val="222222"/>
          <w:shd w:val="clear" w:color="auto" w:fill="FFFFFF"/>
        </w:rPr>
        <w:t>period</w:t>
      </w:r>
      <w:r w:rsidRPr="009006A7">
        <w:rPr>
          <w:rFonts w:cstheme="minorHAnsi"/>
          <w:color w:val="222222"/>
          <w:shd w:val="clear" w:color="auto" w:fill="FFFFFF"/>
        </w:rPr>
        <w:t xml:space="preserve"> Sep 12 to Oct 10 for 2B detached, townhouse, and condo are</w:t>
      </w:r>
      <w:r w:rsidR="009006A7" w:rsidRPr="009006A7">
        <w:rPr>
          <w:rFonts w:cstheme="minorHAnsi"/>
          <w:color w:val="222222"/>
          <w:shd w:val="clear" w:color="auto" w:fill="FFFFFF"/>
        </w:rPr>
        <w:t xml:space="preserve"> respectively </w:t>
      </w:r>
      <w:r w:rsidRPr="009006A7">
        <w:rPr>
          <w:rFonts w:cstheme="minorHAnsi"/>
          <w:color w:val="222222"/>
          <w:shd w:val="clear" w:color="auto" w:fill="FFFFFF"/>
        </w:rPr>
        <w:t>$568K (</w:t>
      </w:r>
      <w:r w:rsidR="009006A7" w:rsidRPr="009006A7">
        <w:rPr>
          <w:rFonts w:cstheme="minorHAnsi"/>
          <w:color w:val="222222"/>
          <w:shd w:val="clear" w:color="auto" w:fill="FFFFFF"/>
        </w:rPr>
        <w:t>increase 20.3% from a year ago)</w:t>
      </w:r>
      <w:r w:rsidRPr="009006A7">
        <w:rPr>
          <w:rFonts w:cstheme="minorHAnsi"/>
          <w:color w:val="222222"/>
          <w:shd w:val="clear" w:color="auto" w:fill="FFFFFF"/>
        </w:rPr>
        <w:t>, $557K</w:t>
      </w:r>
      <w:r w:rsidR="009006A7" w:rsidRPr="009006A7">
        <w:rPr>
          <w:rFonts w:cstheme="minorHAnsi"/>
          <w:color w:val="222222"/>
          <w:shd w:val="clear" w:color="auto" w:fill="FFFFFF"/>
        </w:rPr>
        <w:t xml:space="preserve"> (10.5%)</w:t>
      </w:r>
      <w:r w:rsidRPr="009006A7">
        <w:rPr>
          <w:rFonts w:cstheme="minorHAnsi"/>
          <w:color w:val="222222"/>
          <w:shd w:val="clear" w:color="auto" w:fill="FFFFFF"/>
        </w:rPr>
        <w:t>, and $410K</w:t>
      </w:r>
      <w:r w:rsidR="009006A7" w:rsidRPr="009006A7">
        <w:rPr>
          <w:rFonts w:cstheme="minorHAnsi"/>
          <w:color w:val="222222"/>
          <w:shd w:val="clear" w:color="auto" w:fill="FFFFFF"/>
        </w:rPr>
        <w:t xml:space="preserve"> (-6.2%)</w:t>
      </w:r>
      <w:r w:rsidRPr="009006A7">
        <w:rPr>
          <w:rFonts w:cstheme="minorHAnsi"/>
          <w:color w:val="222222"/>
          <w:shd w:val="clear" w:color="auto" w:fill="FFFFFF"/>
        </w:rPr>
        <w:t>.</w:t>
      </w:r>
      <w:r w:rsidR="000F7818">
        <w:rPr>
          <w:rStyle w:val="FootnoteReference"/>
          <w:rFonts w:cstheme="minorHAnsi"/>
          <w:color w:val="222222"/>
          <w:shd w:val="clear" w:color="auto" w:fill="FFFFFF"/>
        </w:rPr>
        <w:footnoteReference w:id="7"/>
      </w:r>
      <w:r w:rsidRPr="009006A7">
        <w:rPr>
          <w:rFonts w:cstheme="minorHAnsi"/>
          <w:color w:val="222222"/>
        </w:rPr>
        <w:br/>
      </w:r>
      <w:r w:rsidR="00F93646" w:rsidRPr="009006A7">
        <w:rPr>
          <w:sz w:val="24"/>
          <w:szCs w:val="24"/>
        </w:rPr>
        <w:t>The average rent in the timeframe 2019-2020</w:t>
      </w:r>
      <w:r w:rsidR="00B003E2" w:rsidRPr="009006A7">
        <w:rPr>
          <w:sz w:val="24"/>
          <w:szCs w:val="24"/>
        </w:rPr>
        <w:t xml:space="preserve"> </w:t>
      </w:r>
      <w:r w:rsidR="00F93646" w:rsidRPr="009006A7">
        <w:rPr>
          <w:sz w:val="24"/>
          <w:szCs w:val="24"/>
        </w:rPr>
        <w:t>of a 2B unit is $1219 in the primary rental market, which only includes rental units in privately-initiated apartment structures containing at least three rental units.</w:t>
      </w:r>
      <w:r w:rsidR="0096324D" w:rsidRPr="003B58A6">
        <w:rPr>
          <w:rStyle w:val="FootnoteReference"/>
          <w:sz w:val="24"/>
          <w:szCs w:val="24"/>
        </w:rPr>
        <w:footnoteReference w:id="8"/>
      </w:r>
    </w:p>
    <w:p w:rsidR="0096324D" w:rsidRPr="003B58A6" w:rsidRDefault="0096324D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5D6F6E" w:rsidRPr="003B58A6" w:rsidRDefault="005D6F6E">
      <w:pPr>
        <w:rPr>
          <w:sz w:val="24"/>
          <w:szCs w:val="24"/>
        </w:rPr>
      </w:pPr>
    </w:p>
    <w:p w:rsidR="003B58A6" w:rsidRPr="003B58A6" w:rsidRDefault="003B58A6">
      <w:pPr>
        <w:rPr>
          <w:sz w:val="24"/>
          <w:szCs w:val="24"/>
        </w:rPr>
      </w:pPr>
    </w:p>
    <w:sectPr w:rsidR="003B58A6" w:rsidRPr="003B58A6" w:rsidSect="004D24C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23F" w:rsidRDefault="0053123F" w:rsidP="005978A6">
      <w:pPr>
        <w:spacing w:after="0" w:line="240" w:lineRule="auto"/>
      </w:pPr>
      <w:r>
        <w:separator/>
      </w:r>
    </w:p>
  </w:endnote>
  <w:endnote w:type="continuationSeparator" w:id="0">
    <w:p w:rsidR="0053123F" w:rsidRDefault="0053123F" w:rsidP="00597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23F" w:rsidRDefault="0053123F" w:rsidP="005978A6">
      <w:pPr>
        <w:spacing w:after="0" w:line="240" w:lineRule="auto"/>
      </w:pPr>
      <w:r>
        <w:separator/>
      </w:r>
    </w:p>
  </w:footnote>
  <w:footnote w:type="continuationSeparator" w:id="0">
    <w:p w:rsidR="0053123F" w:rsidRDefault="0053123F" w:rsidP="005978A6">
      <w:pPr>
        <w:spacing w:after="0" w:line="240" w:lineRule="auto"/>
      </w:pPr>
      <w:r>
        <w:continuationSeparator/>
      </w:r>
    </w:p>
  </w:footnote>
  <w:footnote w:id="1">
    <w:p w:rsidR="0089406C" w:rsidRDefault="0089406C">
      <w:pPr>
        <w:pStyle w:val="FootnoteText"/>
      </w:pPr>
      <w:r>
        <w:rPr>
          <w:rStyle w:val="FootnoteReference"/>
        </w:rPr>
        <w:footnoteRef/>
      </w:r>
      <w:r>
        <w:t xml:space="preserve"> “Hamilton, Canada Metro Area Population 1950-2020,” </w:t>
      </w:r>
      <w:proofErr w:type="spellStart"/>
      <w:r>
        <w:t>MacroTrends</w:t>
      </w:r>
      <w:proofErr w:type="spellEnd"/>
      <w:r>
        <w:t>, accessed October 13, 2020, https://www.macrotrends.net/cities/20377/hamilton/population.</w:t>
      </w:r>
    </w:p>
  </w:footnote>
  <w:footnote w:id="2">
    <w:p w:rsidR="0089406C" w:rsidRDefault="0089406C">
      <w:pPr>
        <w:pStyle w:val="FootnoteText"/>
      </w:pPr>
      <w:r>
        <w:rPr>
          <w:rStyle w:val="FootnoteReference"/>
        </w:rPr>
        <w:footnoteRef/>
      </w:r>
      <w:r>
        <w:t xml:space="preserve"> “Industries,” Invest in Hamilton, accessed October 13, 2020, https://investinhamilton.ca/industries/.</w:t>
      </w:r>
    </w:p>
  </w:footnote>
  <w:footnote w:id="3">
    <w:p w:rsidR="0036228A" w:rsidRDefault="0036228A">
      <w:pPr>
        <w:pStyle w:val="FootnoteText"/>
      </w:pPr>
      <w:r>
        <w:rPr>
          <w:rStyle w:val="FootnoteReference"/>
        </w:rPr>
        <w:footnoteRef/>
      </w:r>
      <w:r>
        <w:t xml:space="preserve"> Justo.ca, “The Best Cities to Live in Canada,” Justo Real Estate Brokerage, accessed October 13, 2020, https://justo.ca/blog/the-best-cities-to-live-in-canada/.</w:t>
      </w:r>
    </w:p>
  </w:footnote>
  <w:footnote w:id="4">
    <w:p w:rsidR="0089406C" w:rsidRDefault="0089406C">
      <w:pPr>
        <w:pStyle w:val="FootnoteText"/>
      </w:pPr>
      <w:r>
        <w:rPr>
          <w:rStyle w:val="FootnoteReference"/>
        </w:rPr>
        <w:footnoteRef/>
      </w:r>
      <w:r>
        <w:t xml:space="preserve"> “Average Unemployment Rate,” Open Hamilton, accessed October 13, 2020, https://open.hamilton.ca/datasets/9018b3264b2d465d99a7d9c41df6c242_8/data?page=2.</w:t>
      </w:r>
    </w:p>
  </w:footnote>
  <w:footnote w:id="5">
    <w:p w:rsidR="003B58A6" w:rsidRDefault="003B58A6">
      <w:pPr>
        <w:pStyle w:val="FootnoteText"/>
      </w:pPr>
      <w:r>
        <w:rPr>
          <w:rStyle w:val="FootnoteReference"/>
        </w:rPr>
        <w:footnoteRef/>
      </w:r>
      <w:r>
        <w:t xml:space="preserve"> “Employment by Sector for Hamilton CMA,” Open Hamilton, accessed October 13, 2020, https://open.hamilton.ca/datasets/65b14f87de9c48e4bc022c0d8e2b009d_7/data.</w:t>
      </w:r>
    </w:p>
  </w:footnote>
  <w:footnote w:id="6">
    <w:p w:rsidR="0089406C" w:rsidRDefault="0089406C">
      <w:pPr>
        <w:pStyle w:val="FootnoteText"/>
      </w:pPr>
      <w:r>
        <w:rPr>
          <w:rStyle w:val="FootnoteReference"/>
        </w:rPr>
        <w:footnoteRef/>
      </w:r>
      <w:r>
        <w:t xml:space="preserve"> “Some of Canada's Top Employers Are Right Here in Hamilton,” inthehammer.com, accessed October 13, 2020, https://www.inthehammer.com/some-of-canadas-top-employers-are-right-here-in-hamilton.</w:t>
      </w:r>
    </w:p>
  </w:footnote>
  <w:footnote w:id="7">
    <w:p w:rsidR="000F7818" w:rsidRDefault="000F7818">
      <w:pPr>
        <w:pStyle w:val="FootnoteText"/>
      </w:pPr>
      <w:r>
        <w:rPr>
          <w:rStyle w:val="FootnoteReference"/>
        </w:rPr>
        <w:footnoteRef/>
      </w:r>
      <w:r>
        <w:t xml:space="preserve"> “Hamilton Real Estate Trends,” Hamilton Housing Market Report | October 2020 Real Estate Trends &amp; Stats | Zolo.ca, accessed October 13, 2020, https://www.zolo.ca/hamilton-real-estate/trends.</w:t>
      </w:r>
    </w:p>
  </w:footnote>
  <w:footnote w:id="8">
    <w:p w:rsidR="0096324D" w:rsidRDefault="009632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B58A6">
        <w:t>“Rental Market Report</w:t>
      </w:r>
      <w:r w:rsidR="005A1A61">
        <w:t>-Hamilton CMA</w:t>
      </w:r>
      <w:r w:rsidR="003B58A6">
        <w:t xml:space="preserve">,” </w:t>
      </w:r>
      <w:r w:rsidR="005A1A61">
        <w:t>CMHC</w:t>
      </w:r>
      <w:r w:rsidR="003B58A6">
        <w:t xml:space="preserve">, accessed October 13, 2020, </w:t>
      </w:r>
      <w:r w:rsidR="005A1A61" w:rsidRPr="005A1A61">
        <w:t>https://assets.cmhc-schl.gc.ca/sites/cmhc/data-research/publications-reports/rental-market-reports/2019/rental-market-reports-hamilton-64391-2020-a01-en.pdf?rev=130830fb-b335-4382-b64e-37c446305cae</w:t>
      </w:r>
      <w:r w:rsidR="003B58A6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DC9"/>
    <w:multiLevelType w:val="hybridMultilevel"/>
    <w:tmpl w:val="2D9AB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E225B"/>
    <w:multiLevelType w:val="hybridMultilevel"/>
    <w:tmpl w:val="5A4EE2A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6C212C8"/>
    <w:multiLevelType w:val="hybridMultilevel"/>
    <w:tmpl w:val="747299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696F97"/>
    <w:multiLevelType w:val="hybridMultilevel"/>
    <w:tmpl w:val="FCD2BC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205A8"/>
    <w:rsid w:val="000D37C9"/>
    <w:rsid w:val="000F7818"/>
    <w:rsid w:val="00181676"/>
    <w:rsid w:val="0019244B"/>
    <w:rsid w:val="001D155B"/>
    <w:rsid w:val="001E1C15"/>
    <w:rsid w:val="002F6D9A"/>
    <w:rsid w:val="003205A8"/>
    <w:rsid w:val="0036228A"/>
    <w:rsid w:val="003B58A6"/>
    <w:rsid w:val="0042427E"/>
    <w:rsid w:val="004D24CC"/>
    <w:rsid w:val="0053123F"/>
    <w:rsid w:val="005978A6"/>
    <w:rsid w:val="005A1A61"/>
    <w:rsid w:val="005D6F6E"/>
    <w:rsid w:val="00670DFB"/>
    <w:rsid w:val="00693178"/>
    <w:rsid w:val="006B4019"/>
    <w:rsid w:val="0089406C"/>
    <w:rsid w:val="009006A7"/>
    <w:rsid w:val="0096324D"/>
    <w:rsid w:val="00A573D4"/>
    <w:rsid w:val="00B003E2"/>
    <w:rsid w:val="00D43696"/>
    <w:rsid w:val="00D71EAF"/>
    <w:rsid w:val="00E43EAA"/>
    <w:rsid w:val="00F77CA9"/>
    <w:rsid w:val="00F93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5978A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78A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78A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97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0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F22B45-7FAF-4AF2-9A23-071A0EDFA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ST</cp:lastModifiedBy>
  <cp:revision>2</cp:revision>
  <dcterms:created xsi:type="dcterms:W3CDTF">2020-10-13T22:27:00Z</dcterms:created>
  <dcterms:modified xsi:type="dcterms:W3CDTF">2020-10-13T22:27:00Z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