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第三周作业：</w:t>
      </w:r>
    </w:p>
    <w:p>
      <w:pPr>
        <w:jc w:val="both"/>
      </w:pPr>
      <w:bookmarkStart w:id="0" w:name="_heading=h.gjdgxs" w:colFirst="0" w:colLast="0"/>
      <w:bookmarkEnd w:id="0"/>
      <w:r>
        <w:rPr>
          <w:rtl w:val="0"/>
        </w:rPr>
        <w:t>在要投资的County, 拿到一个List后，缩短List到50个标的以内。 详细阐述小组成员是如何拿到这个List的， 原来List有多长，是如何缩短。</w:t>
      </w:r>
    </w:p>
    <w:p>
      <w:r>
        <w:rPr>
          <w:b/>
          <w:rtl w:val="0"/>
        </w:rPr>
        <w:t>投资County</w:t>
      </w:r>
      <w:r>
        <w:rPr>
          <w:rtl w:val="0"/>
        </w:rPr>
        <w:t>：</w:t>
      </w:r>
    </w:p>
    <w:p>
      <w:r>
        <w:rPr>
          <w:rtl w:val="0"/>
        </w:rPr>
        <w:t>Prince George’s County, Maryland</w:t>
      </w:r>
    </w:p>
    <w:p>
      <w:r>
        <w:rPr>
          <w:b/>
          <w:rtl w:val="0"/>
        </w:rPr>
        <w:t>如何拿到List</w:t>
      </w:r>
      <w:r>
        <w:rPr>
          <w:rtl w:val="0"/>
        </w:rPr>
        <w:t>：</w:t>
      </w:r>
    </w:p>
    <w:p>
      <w:r>
        <w:rPr>
          <w:rtl w:val="0"/>
        </w:rPr>
        <w:t>- 在County网站上可以拿到pdf，用online软件转为excel</w:t>
      </w:r>
    </w:p>
    <w:p>
      <w:r>
        <w:rPr>
          <w:rtl w:val="0"/>
        </w:rPr>
        <w:t>- 因为2021 List 4月才放出， 我们目前以2020 Tax Sale Results List为例做缩短List练习：</w:t>
      </w:r>
      <w:r>
        <w:fldChar w:fldCharType="begin"/>
      </w:r>
      <w:r>
        <w:instrText xml:space="preserve"> HYPERLINK "https://taxsale.princegeorgescountymd.gov/2020Taxsaleresults.pdf" \h </w:instrText>
      </w:r>
      <w:r>
        <w:fldChar w:fldCharType="separate"/>
      </w:r>
      <w:r>
        <w:rPr>
          <w:color w:val="0000FF"/>
          <w:u w:val="single"/>
          <w:rtl w:val="0"/>
        </w:rPr>
        <w:t>https://taxsale.princegeorgescountymd.gov/2020Taxsaleresults.pdf</w:t>
      </w:r>
      <w:r>
        <w:rPr>
          <w:color w:val="0000FF"/>
          <w:u w:val="single"/>
          <w:rtl w:val="0"/>
        </w:rPr>
        <w:fldChar w:fldCharType="end"/>
      </w:r>
    </w:p>
    <w:p>
      <w:r>
        <w:rPr>
          <w:rtl w:val="0"/>
        </w:rPr>
        <w:t>- 因为Result List里已有winning bid的结果，可以用来检验自己筛选/出价策略是否成功</w:t>
      </w:r>
    </w:p>
    <w:p>
      <w:r>
        <w:rPr>
          <w:b/>
          <w:rtl w:val="0"/>
        </w:rPr>
        <w:t>List原长度</w:t>
      </w:r>
      <w:r>
        <w:rPr>
          <w:rtl w:val="0"/>
        </w:rPr>
        <w:t>：</w:t>
      </w:r>
    </w:p>
    <w:p>
      <w:r>
        <w:rPr>
          <w:rtl w:val="0"/>
        </w:rPr>
        <w:t xml:space="preserve">1826个标的 </w:t>
      </w:r>
      <w:r>
        <w:rPr>
          <w:rFonts w:hint="eastAsia"/>
          <w:rtl w:val="0"/>
          <w:lang w:val="en-US" w:eastAsia="zh-CN"/>
        </w:rPr>
        <w:t xml:space="preserve"> (详见</w:t>
      </w:r>
      <w:r>
        <w:rPr>
          <w:rFonts w:hint="eastAsia"/>
          <w:rtl w:val="0"/>
          <w:lang w:val="en-US" w:eastAsia="zh-CN"/>
        </w:rPr>
        <w:fldChar w:fldCharType="begin"/>
      </w:r>
      <w:r>
        <w:rPr>
          <w:rFonts w:hint="eastAsia"/>
          <w:rtl w:val="0"/>
          <w:lang w:val="en-US" w:eastAsia="zh-CN"/>
        </w:rPr>
        <w:instrText xml:space="preserve"> HYPERLINK "https://drive.google.com/file/d/1lJWbSNnl-Y6bNbU7JwBUX4sLg4NUPPeg/view?usp=sharing" </w:instrText>
      </w:r>
      <w:r>
        <w:rPr>
          <w:rFonts w:hint="eastAsia"/>
          <w:rtl w:val="0"/>
          <w:lang w:val="en-US" w:eastAsia="zh-CN"/>
        </w:rPr>
        <w:fldChar w:fldCharType="separate"/>
      </w:r>
      <w:r>
        <w:rPr>
          <w:rStyle w:val="12"/>
          <w:rFonts w:hint="eastAsia"/>
          <w:rtl w:val="0"/>
          <w:lang w:val="en-US" w:eastAsia="zh-CN"/>
        </w:rPr>
        <w:t xml:space="preserve">Spreadsheet </w:t>
      </w:r>
      <w:r>
        <w:rPr>
          <w:rFonts w:hint="eastAsia"/>
          <w:rtl w:val="0"/>
          <w:lang w:val="en-US" w:eastAsia="zh-CN"/>
        </w:rPr>
        <w:fldChar w:fldCharType="end"/>
      </w:r>
      <w:r>
        <w:rPr>
          <w:rtl w:val="0"/>
        </w:rPr>
        <w:t>‘Raw List’ Tab)</w:t>
      </w:r>
    </w:p>
    <w:p>
      <w:r>
        <w:rPr>
          <w:b/>
          <w:rtl w:val="0"/>
        </w:rPr>
        <w:t>如何缩短List</w:t>
      </w:r>
      <w:r>
        <w:rPr>
          <w:rtl w:val="0"/>
        </w:rPr>
        <w:t>：</w:t>
      </w:r>
    </w:p>
    <w:p>
      <w:r>
        <w:rPr>
          <w:rtl w:val="0"/>
        </w:rPr>
        <w:t>设置如下filter：</w:t>
      </w:r>
    </w:p>
    <w:p>
      <w:r>
        <w:rPr>
          <w:rtl w:val="0"/>
        </w:rPr>
        <w:t>- Assess Value &gt; 500k (房产价值足够高，即使法拍也值得)</w:t>
      </w:r>
    </w:p>
    <w:p>
      <w:r>
        <w:rPr>
          <w:rtl w:val="0"/>
        </w:rPr>
        <w:t>- Lien Value 5-10k (投资资金预算约20k，希望投2-4个标的)</w:t>
      </w:r>
    </w:p>
    <w:p>
      <w:r>
        <w:rPr>
          <w:rtl w:val="0"/>
        </w:rPr>
        <w:t>在上述两个filter下，Lien to Value Ratio 仅为1-2%，远远满足&lt;10%的rule of thumb。List缩短到58个，基本符合作业要求。(详</w:t>
      </w:r>
      <w:r>
        <w:rPr>
          <w:rFonts w:hint="eastAsia"/>
          <w:rtl w:val="0"/>
          <w:lang w:val="en-US" w:eastAsia="zh-CN"/>
        </w:rPr>
        <w:t>见</w:t>
      </w:r>
      <w:r>
        <w:rPr>
          <w:rFonts w:hint="eastAsia"/>
          <w:rtl w:val="0"/>
          <w:lang w:val="en-US" w:eastAsia="zh-CN"/>
        </w:rPr>
        <w:fldChar w:fldCharType="begin"/>
      </w:r>
      <w:r>
        <w:rPr>
          <w:rFonts w:hint="eastAsia"/>
          <w:rtl w:val="0"/>
          <w:lang w:val="en-US" w:eastAsia="zh-CN"/>
        </w:rPr>
        <w:instrText xml:space="preserve"> HYPERLINK "https://drive.google.com/file/d/1lJWbSNnl-Y6bNbU7JwBUX4sLg4NUPPeg/view?usp=sharing" </w:instrText>
      </w:r>
      <w:r>
        <w:rPr>
          <w:rFonts w:hint="eastAsia"/>
          <w:rtl w:val="0"/>
          <w:lang w:val="en-US" w:eastAsia="zh-CN"/>
        </w:rPr>
        <w:fldChar w:fldCharType="separate"/>
      </w:r>
      <w:r>
        <w:rPr>
          <w:rStyle w:val="12"/>
          <w:rFonts w:hint="eastAsia"/>
          <w:rtl w:val="0"/>
          <w:lang w:val="en-US" w:eastAsia="zh-CN"/>
        </w:rPr>
        <w:t xml:space="preserve">Spreadsheet </w:t>
      </w:r>
      <w:r>
        <w:rPr>
          <w:rFonts w:hint="eastAsia"/>
          <w:rtl w:val="0"/>
          <w:lang w:val="en-US" w:eastAsia="zh-CN"/>
        </w:rPr>
        <w:fldChar w:fldCharType="end"/>
      </w:r>
      <w:r>
        <w:rPr>
          <w:rtl w:val="0"/>
        </w:rPr>
        <w:t>‘Filtered List’ Tab)</w:t>
      </w:r>
    </w:p>
    <w:p>
      <w:pPr>
        <w:rPr>
          <w:b/>
        </w:rPr>
      </w:pPr>
      <w:r>
        <w:rPr>
          <w:b/>
          <w:rtl w:val="0"/>
        </w:rPr>
        <w:t>出价策略及结果检验：</w:t>
      </w:r>
      <w:bookmarkStart w:id="1" w:name="_GoBack"/>
      <w:bookmarkEnd w:id="1"/>
    </w:p>
    <w:p>
      <w:r>
        <w:rPr>
          <w:rtl w:val="0"/>
        </w:rPr>
        <w:t>- 对58个标的进行DD, 对符合基本要求的撒网式出价，最高bid到Assess Value的10%。(按照county的计算方法，只要有信心老屋主会赎回，投资者只需付Lien Value，不需要付bid amount) DD部分我们下周作业再详细展开。</w:t>
      </w:r>
    </w:p>
    <w:p>
      <w:r>
        <w:rPr>
          <w:rtl w:val="0"/>
        </w:rPr>
        <w:t>- 结果检验：以此策略可以bid到3个，中标率5%：</w:t>
      </w:r>
    </w:p>
    <w:tbl>
      <w:tblPr>
        <w:tblStyle w:val="14"/>
        <w:tblW w:w="833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0"/>
        <w:gridCol w:w="2084"/>
        <w:gridCol w:w="915"/>
        <w:gridCol w:w="848"/>
        <w:gridCol w:w="578"/>
        <w:gridCol w:w="1056"/>
        <w:gridCol w:w="1056"/>
        <w:gridCol w:w="10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Borders>
              <w:top w:val="single" w:color="000000" w:sz="8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center"/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  <w:rtl w:val="0"/>
              </w:rPr>
              <w:t>ParcelID</w:t>
            </w:r>
          </w:p>
        </w:tc>
        <w:tc>
          <w:tcPr>
            <w:tcBorders>
              <w:top w:val="single" w:color="000000" w:sz="8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  <w:rtl w:val="0"/>
              </w:rPr>
              <w:t>AccountName</w:t>
            </w:r>
          </w:p>
        </w:tc>
        <w:tc>
          <w:tcPr>
            <w:tcBorders>
              <w:top w:val="single" w:color="000000" w:sz="8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center"/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  <w:rtl w:val="0"/>
              </w:rPr>
              <w:t>Assessed</w:t>
            </w:r>
            <w:r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  <w:rtl w:val="0"/>
              </w:rPr>
              <w:t>Value</w:t>
            </w:r>
          </w:p>
        </w:tc>
        <w:tc>
          <w:tcPr>
            <w:tcBorders>
              <w:top w:val="single" w:color="000000" w:sz="8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center"/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  <w:rtl w:val="0"/>
              </w:rPr>
              <w:t>Taxes</w:t>
            </w:r>
          </w:p>
        </w:tc>
        <w:tc>
          <w:tcPr>
            <w:tcBorders>
              <w:top w:val="single" w:color="000000" w:sz="8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  <w:rtl w:val="0"/>
              </w:rPr>
              <w:t>Bidder</w:t>
            </w:r>
          </w:p>
        </w:tc>
        <w:tc>
          <w:tcPr>
            <w:tcBorders>
              <w:top w:val="single" w:color="000000" w:sz="8" w:space="0"/>
              <w:left w:val="single" w:color="A6A6A6" w:sz="4" w:space="0"/>
              <w:bottom w:val="single" w:color="A6A6A6" w:sz="4" w:space="0"/>
              <w:right w:val="nil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  <w:rtl w:val="0"/>
              </w:rPr>
              <w:t>Lien to Value Ratio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A6A6A6" w:sz="4" w:space="0"/>
              <w:right w:val="nil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Best Offer I Would Give </w:t>
            </w:r>
          </w:p>
        </w:tc>
        <w:tc>
          <w:tcPr>
            <w:tcBorders>
              <w:top w:val="single" w:color="000000" w:sz="8" w:space="0"/>
              <w:left w:val="nil"/>
              <w:bottom w:val="single" w:color="A6A6A6" w:sz="4" w:space="0"/>
              <w:right w:val="nil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b/>
                <w:i w:val="0"/>
                <w:color w:val="000000"/>
                <w:sz w:val="20"/>
                <w:szCs w:val="20"/>
                <w:u w:val="none"/>
                <w:rtl w:val="0"/>
              </w:rPr>
              <w:t>Did I Win?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center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1621259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THE MOODY GROUP LL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$476,500 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center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$8,410 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208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nil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2%</w:t>
            </w:r>
          </w:p>
        </w:tc>
        <w:tc>
          <w:tcPr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$47,650 </w:t>
            </w:r>
          </w:p>
        </w:tc>
        <w:tc>
          <w:tcPr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center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5526592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BRACKENS TABITHA M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$528,800 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center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$6,277 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155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nil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1%</w:t>
            </w:r>
          </w:p>
        </w:tc>
        <w:tc>
          <w:tcPr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$52,880 </w:t>
            </w:r>
          </w:p>
        </w:tc>
        <w:tc>
          <w:tcPr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center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5623643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AWITTOR EVELYN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$739,333 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center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$6,095 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68</w:t>
            </w:r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nil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1%</w:t>
            </w:r>
          </w:p>
        </w:tc>
        <w:tc>
          <w:tcPr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$73,933 </w:t>
            </w:r>
          </w:p>
        </w:tc>
        <w:tc>
          <w:tcPr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0"/>
                <w:szCs w:val="20"/>
                <w:u w:val="none"/>
                <w:rtl w:val="0"/>
              </w:rPr>
              <w:t>TRUE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1CAB3DDD"/>
    <w:rsid w:val="1E271C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customStyle="1" w:styleId="13">
    <w:name w:val="Table Normal"/>
    <w:qFormat/>
    <w:uiPriority w:val="0"/>
  </w:style>
  <w:style w:type="table" w:customStyle="1" w:styleId="14">
    <w:name w:val="_Style 14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kAlADGAwh7ZjF86bwlpmemRpNg==">AMUW2mXFkGFHQhyHoTNiU+6ZUzCftr0EFYJ1lanJREav8+z3xxLsMwHJJxlXNucv3Xh3O/TirU/0jrZC1i/oS4Z+lPXGilICFMu4Vth3lBn7wyB1OllJTZI74+cK6gzu/Ch3tyEj6U5l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fight</dc:creator>
  <cp:lastModifiedBy>fight</cp:lastModifiedBy>
  <dcterms:modified xsi:type="dcterms:W3CDTF">2021-01-31T03:22:54Z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