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22.png" ContentType="image/png"/>
  <Override PartName="/word/media/rId27.png" ContentType="image/png"/>
  <Override PartName="/word/media/rId31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manuel-dutilisation-daf-finance"/>
    <w:p>
      <w:pPr>
        <w:pStyle w:val="Heading1"/>
      </w:pPr>
      <w:r>
        <w:t xml:space="preserve">Manuel d’utilisation — DAF &amp; Finance</w:t>
      </w:r>
    </w:p>
    <w:p>
      <w:pPr>
        <w:pStyle w:val="FirstParagraph"/>
      </w:pPr>
      <w:r>
        <w:rPr>
          <w:b/>
          <w:bCs/>
        </w:rPr>
        <w:t xml:space="preserve">Progiciel Caisses &amp; CRM — MAJOR AUTO PARTS</w:t>
      </w:r>
      <w:r>
        <w:br/>
      </w:r>
      <w:r>
        <w:t xml:space="preserve">Public :</w:t>
      </w:r>
      <w:r>
        <w:t xml:space="preserve"> </w:t>
      </w:r>
      <w:r>
        <w:rPr>
          <w:b/>
          <w:bCs/>
        </w:rPr>
        <w:t xml:space="preserve">DAF</w:t>
      </w:r>
      <w:r>
        <w:t xml:space="preserve">,</w:t>
      </w:r>
      <w:r>
        <w:t xml:space="preserve"> </w:t>
      </w:r>
      <w:r>
        <w:rPr>
          <w:b/>
          <w:bCs/>
        </w:rPr>
        <w:t xml:space="preserve">Direction générale</w:t>
      </w:r>
      <w:r>
        <w:t xml:space="preserve"> </w:t>
      </w:r>
      <w:r>
        <w:t xml:space="preserve">(consultation),</w:t>
      </w:r>
      <w:r>
        <w:t xml:space="preserve"> </w:t>
      </w:r>
      <w:r>
        <w:rPr>
          <w:b/>
          <w:bCs/>
        </w:rPr>
        <w:t xml:space="preserve">Caissier central</w:t>
      </w:r>
      <w:r>
        <w:t xml:space="preserve"> </w:t>
      </w:r>
      <w:r>
        <w:t xml:space="preserve">(finance + trésorerie),</w:t>
      </w:r>
      <w:r>
        <w:t xml:space="preserve"> </w:t>
      </w:r>
      <w:r>
        <w:rPr>
          <w:b/>
          <w:bCs/>
        </w:rPr>
        <w:t xml:space="preserve">Contrôleur interne</w:t>
      </w:r>
      <w:r>
        <w:br/>
      </w:r>
      <w:r>
        <w:t xml:space="preserve">Périmètre : cockpit financier, résultat, stocks valorisés, trésorerie réseau, validation niveau 2, litiges</w:t>
      </w:r>
    </w:p>
    <w:p>
      <w:pPr>
        <w:pStyle w:val="BlockText"/>
      </w:pPr>
      <w:r>
        <w:t xml:space="preserve">Captures réelles depuis l’application en production (</w:t>
      </w:r>
      <w:r>
        <w:rPr>
          <w:rStyle w:val="VerbatimChar"/>
        </w:rPr>
        <w:t xml:space="preserve">crm.majorautoparts.shop</w:t>
      </w:r>
      <w:r>
        <w:t xml:space="preserve">, compte</w:t>
      </w:r>
      <w:r>
        <w:t xml:space="preserve"> </w:t>
      </w:r>
      <w:r>
        <w:rPr>
          <w:rStyle w:val="VerbatimChar"/>
        </w:rPr>
        <w:t xml:space="preserve">demo-daf</w:t>
      </w:r>
      <w:r>
        <w:t xml:space="preserve">). Les libellés correspondent exactement à l’interface.</w:t>
      </w:r>
    </w:p>
    <w:p>
      <w:r>
        <w:pict>
          <v:rect style="width:0;height:1.5pt" o:hralign="center" o:hrstd="t" o:hr="t"/>
        </w:pict>
      </w:r>
    </w:p>
    <w:bookmarkStart w:id="9" w:name="table-des-matières"/>
    <w:p>
      <w:pPr>
        <w:pStyle w:val="Heading2"/>
      </w:pPr>
      <w:r>
        <w:t xml:space="preserve">Table des matières</w:t>
      </w:r>
    </w:p>
    <w:p>
      <w:pPr>
        <w:pStyle w:val="Compact"/>
        <w:numPr>
          <w:ilvl w:val="0"/>
          <w:numId w:val="1001"/>
        </w:numPr>
      </w:pPr>
      <w:hyperlink w:anchor="Xf80657996e46fd4fd93c2437170341f70efc7f5">
        <w:r>
          <w:rPr>
            <w:rStyle w:val="Hyperlink"/>
          </w:rPr>
          <w:t xml:space="preserve">Avant de commencer</w:t>
        </w:r>
      </w:hyperlink>
    </w:p>
    <w:p>
      <w:pPr>
        <w:pStyle w:val="Compact"/>
        <w:numPr>
          <w:ilvl w:val="0"/>
          <w:numId w:val="1001"/>
        </w:numPr>
      </w:pPr>
      <w:hyperlink w:anchor="X1b69904e42a6f38443a227cd9a3a722164bac05">
        <w:r>
          <w:rPr>
            <w:rStyle w:val="Hyperlink"/>
          </w:rPr>
          <w:t xml:space="preserve">Connexion</w:t>
        </w:r>
      </w:hyperlink>
    </w:p>
    <w:p>
      <w:pPr>
        <w:pStyle w:val="Compact"/>
        <w:numPr>
          <w:ilvl w:val="0"/>
          <w:numId w:val="1001"/>
        </w:numPr>
      </w:pPr>
      <w:hyperlink w:anchor="Xa49377dbfc55a362f7eccfe9219876fb6ae2405">
        <w:r>
          <w:rPr>
            <w:rStyle w:val="Hyperlink"/>
          </w:rPr>
          <w:t xml:space="preserve">Cockpit Finance</w:t>
        </w:r>
      </w:hyperlink>
    </w:p>
    <w:p>
      <w:pPr>
        <w:pStyle w:val="Compact"/>
        <w:numPr>
          <w:ilvl w:val="0"/>
          <w:numId w:val="1001"/>
        </w:numPr>
      </w:pPr>
      <w:hyperlink w:anchor="X416a8b7654c2af5001c4ede1a0c816a331fd324">
        <w:r>
          <w:rPr>
            <w:rStyle w:val="Hyperlink"/>
          </w:rPr>
          <w:t xml:space="preserve">Résultat et stocks</w:t>
        </w:r>
      </w:hyperlink>
    </w:p>
    <w:p>
      <w:pPr>
        <w:pStyle w:val="Compact"/>
        <w:numPr>
          <w:ilvl w:val="0"/>
          <w:numId w:val="1001"/>
        </w:numPr>
      </w:pPr>
      <w:hyperlink w:anchor="X99dae06db6ed7725a1e07f47d92ca9fab00bd1c">
        <w:r>
          <w:rPr>
            <w:rStyle w:val="Hyperlink"/>
          </w:rPr>
          <w:t xml:space="preserve">Trésorerie réseau</w:t>
        </w:r>
      </w:hyperlink>
    </w:p>
    <w:p>
      <w:pPr>
        <w:pStyle w:val="Compact"/>
        <w:numPr>
          <w:ilvl w:val="0"/>
          <w:numId w:val="1001"/>
        </w:numPr>
      </w:pPr>
      <w:hyperlink w:anchor="X519f5bc7d888786c22937b4c8c12ee29bf93eb3">
        <w:r>
          <w:rPr>
            <w:rStyle w:val="Hyperlink"/>
          </w:rPr>
          <w:t xml:space="preserve">Validation des versements (niveau 2)</w:t>
        </w:r>
      </w:hyperlink>
    </w:p>
    <w:p>
      <w:pPr>
        <w:pStyle w:val="Compact"/>
        <w:numPr>
          <w:ilvl w:val="0"/>
          <w:numId w:val="1001"/>
        </w:numPr>
      </w:pPr>
      <w:hyperlink w:anchor="X77b3aa180a19a3d04b6ef6eeace841bd536aaf8">
        <w:r>
          <w:rPr>
            <w:rStyle w:val="Hyperlink"/>
          </w:rPr>
          <w:t xml:space="preserve">Alertes et litiges</w:t>
        </w:r>
      </w:hyperlink>
    </w:p>
    <w:p>
      <w:pPr>
        <w:pStyle w:val="Compact"/>
        <w:numPr>
          <w:ilvl w:val="0"/>
          <w:numId w:val="1001"/>
        </w:numPr>
      </w:pPr>
      <w:hyperlink w:anchor="X6084d27d09836c44d6c34331536c92bb607c496">
        <w:r>
          <w:rPr>
            <w:rStyle w:val="Hyperlink"/>
          </w:rPr>
          <w:t xml:space="preserve">Achats &amp; comptabilité (aperçu)</w:t>
        </w:r>
      </w:hyperlink>
    </w:p>
    <w:p>
      <w:pPr>
        <w:pStyle w:val="Compact"/>
        <w:numPr>
          <w:ilvl w:val="0"/>
          <w:numId w:val="1001"/>
        </w:numPr>
      </w:pPr>
      <w:hyperlink w:anchor="X923fe7aed48e8dccfdd9ce4e3257924138663a6">
        <w:r>
          <w:rPr>
            <w:rStyle w:val="Hyperlink"/>
          </w:rPr>
          <w:t xml:space="preserve">Ce que le DAF ne fait pas</w:t>
        </w:r>
      </w:hyperlink>
    </w:p>
    <w:p>
      <w:pPr>
        <w:pStyle w:val="Compact"/>
        <w:numPr>
          <w:ilvl w:val="0"/>
          <w:numId w:val="1001"/>
        </w:numPr>
      </w:pPr>
      <w:hyperlink w:anchor="Xa17d2a3f470246c79d462009e29fd2380412e39">
        <w:r>
          <w:rPr>
            <w:rStyle w:val="Hyperlink"/>
          </w:rPr>
          <w:t xml:space="preserve">Incidents fréquents</w:t>
        </w:r>
      </w:hyperlink>
    </w:p>
    <w:p>
      <w:pPr>
        <w:pStyle w:val="Compact"/>
        <w:numPr>
          <w:ilvl w:val="0"/>
          <w:numId w:val="1001"/>
        </w:numPr>
      </w:pPr>
      <w:hyperlink w:anchor="X9a3926ddc3c82f9eb4edc086b0d24cb867b9650">
        <w:r>
          <w:rPr>
            <w:rStyle w:val="Hyperlink"/>
          </w:rPr>
          <w:t xml:space="preserve">Comptes démo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avant-de-commencer"/>
    <w:p>
      <w:pPr>
        <w:pStyle w:val="Heading2"/>
      </w:pPr>
      <w:r>
        <w:t xml:space="preserve">1. Avant de commencer</w:t>
      </w:r>
    </w:p>
    <w:bookmarkStart w:id="10" w:name="rôles"/>
    <w:p>
      <w:pPr>
        <w:pStyle w:val="Heading3"/>
      </w:pPr>
      <w:r>
        <w:t xml:space="preserve">Rôles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3960"/>
        <w:gridCol w:w="25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Accueil typique</w:t>
            </w:r>
          </w:p>
        </w:tc>
        <w:tc>
          <w:tcPr/>
          <w:p>
            <w:pPr>
              <w:pStyle w:val="Compact"/>
            </w:pPr>
            <w:r>
              <w:t xml:space="preserve">Périmètre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/finance</w:t>
            </w:r>
          </w:p>
        </w:tc>
        <w:tc>
          <w:tcPr/>
          <w:p>
            <w:pPr>
              <w:pStyle w:val="Compact"/>
            </w:pPr>
            <w:r>
              <w:t xml:space="preserve">Réseau entier — validation niveau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Direction générale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/finance</w:t>
            </w:r>
          </w:p>
        </w:tc>
        <w:tc>
          <w:tcPr/>
          <w:p>
            <w:pPr>
              <w:pStyle w:val="Compact"/>
            </w:pPr>
            <w:r>
              <w:t xml:space="preserve">Consultation ; seuils exceptionnels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Caissier central</w:t>
            </w:r>
          </w:p>
        </w:tc>
        <w:tc>
          <w:tcPr/>
          <w:p>
            <w:pPr>
              <w:pStyle w:val="Compact"/>
            </w:pPr>
            <w:r>
              <w:t xml:space="preserve">Finance / Trésorerie</w:t>
            </w:r>
          </w:p>
        </w:tc>
        <w:tc>
          <w:tcPr/>
          <w:p>
            <w:pPr>
              <w:pStyle w:val="Compact"/>
            </w:pPr>
            <w:r>
              <w:t xml:space="preserve">Réception / rapprochement opérationnel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Contrôleur interne</w:t>
            </w:r>
          </w:p>
        </w:tc>
        <w:tc>
          <w:tcPr/>
          <w:p>
            <w:pPr>
              <w:pStyle w:val="Compact"/>
            </w:pPr>
            <w:r>
              <w:t xml:space="preserve">Finance / Litiges / Audit</w:t>
            </w:r>
          </w:p>
        </w:tc>
        <w:tc>
          <w:tcPr/>
          <w:p>
            <w:pPr>
              <w:pStyle w:val="Compact"/>
            </w:pPr>
            <w:r>
              <w:t xml:space="preserve">Lecture + régularisation litiges</w:t>
            </w:r>
          </w:p>
        </w:tc>
      </w:tr>
    </w:tbl>
    <w:bookmarkEnd w:id="10"/>
    <w:bookmarkStart w:id="11" w:name="règle-dor"/>
    <w:p>
      <w:pPr>
        <w:pStyle w:val="Heading3"/>
      </w:pPr>
      <w:r>
        <w:t xml:space="preserve">Règle d’or</w:t>
      </w:r>
    </w:p>
    <w:p>
      <w:pPr>
        <w:pStyle w:val="FirstParagraph"/>
      </w:pPr>
      <w:r>
        <w:t xml:space="preserve">Le DAF</w:t>
      </w:r>
      <w:r>
        <w:t xml:space="preserve"> </w:t>
      </w:r>
      <w:r>
        <w:rPr>
          <w:b/>
          <w:bCs/>
        </w:rPr>
        <w:t xml:space="preserve">ne tient pas la caisse boutique</w:t>
      </w:r>
      <w:r>
        <w:t xml:space="preserve">.</w:t>
      </w:r>
      <w:r>
        <w:br/>
      </w:r>
      <w:r>
        <w:t xml:space="preserve">Il</w:t>
      </w:r>
      <w:r>
        <w:t xml:space="preserve"> </w:t>
      </w:r>
      <w:r>
        <w:rPr>
          <w:b/>
          <w:bCs/>
        </w:rPr>
        <w:t xml:space="preserve">peut</w:t>
      </w:r>
      <w:r>
        <w:t xml:space="preserve"> </w:t>
      </w:r>
      <w:r>
        <w:t xml:space="preserve">réceptionner / valider les versements magasin → centrale (comme le Caissier central), et pilote le</w:t>
      </w:r>
      <w:r>
        <w:t xml:space="preserve"> </w:t>
      </w:r>
      <w:r>
        <w:rPr>
          <w:b/>
          <w:bCs/>
        </w:rPr>
        <w:t xml:space="preserve">cockpit</w:t>
      </w:r>
      <w:r>
        <w:t xml:space="preserve"> </w:t>
      </w:r>
      <w:r>
        <w:t xml:space="preserve">consolidé.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connexion"/>
    <w:p>
      <w:pPr>
        <w:pStyle w:val="Heading2"/>
      </w:pPr>
      <w:r>
        <w:t xml:space="preserve">2. Connexion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https://crm.majorautoparts.shop</w:t>
      </w:r>
    </w:p>
    <w:p>
      <w:pPr>
        <w:pStyle w:val="Compact"/>
        <w:numPr>
          <w:ilvl w:val="0"/>
          <w:numId w:val="1002"/>
        </w:numPr>
      </w:pPr>
      <w:r>
        <w:t xml:space="preserve">Compte DAF (ex.</w:t>
      </w:r>
      <w:r>
        <w:t xml:space="preserve"> </w:t>
      </w:r>
      <w:r>
        <w:rPr>
          <w:rStyle w:val="VerbatimChar"/>
        </w:rPr>
        <w:t xml:space="preserve">demo-daf</w:t>
      </w:r>
      <w:r>
        <w:t xml:space="preserve"> </w:t>
      </w:r>
      <w:r>
        <w:t xml:space="preserve">en démo).</w:t>
      </w:r>
    </w:p>
    <w:p>
      <w:pPr>
        <w:pStyle w:val="Compact"/>
        <w:numPr>
          <w:ilvl w:val="0"/>
          <w:numId w:val="1002"/>
        </w:numPr>
      </w:pPr>
      <w:r>
        <w:t xml:space="preserve">Accueil</w:t>
      </w:r>
      <w:r>
        <w:t xml:space="preserve"> </w:t>
      </w:r>
      <w:r>
        <w:rPr>
          <w:b/>
          <w:bCs/>
        </w:rPr>
        <w:t xml:space="preserve">Finance</w:t>
      </w:r>
      <w:r>
        <w:t xml:space="preserve">.</w:t>
      </w:r>
    </w:p>
    <w:p>
      <w:pPr>
        <w:pStyle w:val="CaptionedFigure"/>
      </w:pPr>
      <w:r>
        <w:drawing>
          <wp:inline>
            <wp:extent cx="5334000" cy="5806097"/>
            <wp:effectExtent b="0" l="0" r="0" t="0"/>
            <wp:docPr descr="Figure 1 — Connexion" title="" id="14" name="Picture"/>
            <a:graphic>
              <a:graphicData uri="http://schemas.openxmlformats.org/drawingml/2006/picture">
                <pic:pic>
                  <pic:nvPicPr>
                    <pic:cNvPr descr="captures/01-connexion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6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Connexion</w:t>
      </w:r>
    </w:p>
    <w:p>
      <w:pPr>
        <w:pStyle w:val="BodyText"/>
      </w:pPr>
      <w:r>
        <w:rPr>
          <w:i/>
          <w:iCs/>
        </w:rPr>
        <w:t xml:space="preserve">Figure 1 — Connexion</w:t>
      </w:r>
    </w:p>
    <w:p>
      <w:r>
        <w:pict>
          <v:rect style="width:0;height:1.5pt" o:hralign="center" o:hrstd="t" o:hr="t"/>
        </w:pict>
      </w:r>
    </w:p>
    <w:bookmarkEnd w:id="16"/>
    <w:bookmarkStart w:id="20" w:name="cockpit-finance"/>
    <w:p>
      <w:pPr>
        <w:pStyle w:val="Heading2"/>
      </w:pPr>
      <w:r>
        <w:t xml:space="preserve">3. Cockpit Finance</w:t>
      </w:r>
    </w:p>
    <w:p>
      <w:pPr>
        <w:pStyle w:val="FirstParagraph"/>
      </w:pPr>
      <w:r>
        <w:t xml:space="preserve">Route :</w:t>
      </w:r>
      <w:r>
        <w:t xml:space="preserve"> </w:t>
      </w:r>
      <w:r>
        <w:rPr>
          <w:rStyle w:val="VerbatimChar"/>
        </w:rPr>
        <w:t xml:space="preserve">/finance</w:t>
      </w:r>
      <w:r>
        <w:t xml:space="preserve">.</w:t>
      </w:r>
    </w:p>
    <w:p>
      <w:pPr>
        <w:pStyle w:val="BodyText"/>
      </w:pPr>
      <w:r>
        <w:t xml:space="preserve">Onglets / sections typiques 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Vue</w:t>
      </w:r>
      <w:r>
        <w:t xml:space="preserve"> </w:t>
      </w:r>
      <w:r>
        <w:t xml:space="preserve">— synthèse réseau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Résultat</w:t>
      </w:r>
      <w:r>
        <w:t xml:space="preserve"> </w:t>
      </w:r>
      <w:r>
        <w:t xml:space="preserve">— CA net, CMV, marge brute, par boutique / mode de paiement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Stocks</w:t>
      </w:r>
      <w:r>
        <w:t xml:space="preserve"> </w:t>
      </w:r>
      <w:r>
        <w:t xml:space="preserve">— valeur, ruptures, sous-seuil, santé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Trésorerie</w:t>
      </w:r>
      <w:r>
        <w:t xml:space="preserve"> </w:t>
      </w:r>
      <w:r>
        <w:t xml:space="preserve">— soldes magasins / tiroirs / centrale, runway</w:t>
      </w:r>
    </w:p>
    <w:p>
      <w:pPr>
        <w:pStyle w:val="FirstParagraph"/>
      </w:pPr>
      <w:r>
        <w:t xml:space="preserve">Filtres éventuels : magasin / siège (périmètre).</w:t>
      </w:r>
    </w:p>
    <w:p>
      <w:pPr>
        <w:pStyle w:val="BodyText"/>
      </w:pPr>
      <w:r>
        <w:t xml:space="preserve">Exports CSV disponibles selon boutons</w:t>
      </w:r>
      <w:r>
        <w:t xml:space="preserve"> </w:t>
      </w:r>
      <w:r>
        <w:rPr>
          <w:b/>
          <w:bCs/>
        </w:rPr>
        <w:t xml:space="preserve">Exporter</w:t>
      </w:r>
      <w:r>
        <w:t xml:space="preserve"> </w:t>
      </w:r>
      <w:r>
        <w:t xml:space="preserve">/ icône téléchargement.</w:t>
      </w:r>
    </w:p>
    <w:p>
      <w:pPr>
        <w:pStyle w:val="CaptionedFigure"/>
      </w:pPr>
      <w:r>
        <w:drawing>
          <wp:inline>
            <wp:extent cx="5334000" cy="5806097"/>
            <wp:effectExtent b="0" l="0" r="0" t="0"/>
            <wp:docPr descr="Figure 2 — Cockpit Finance" title="" id="18" name="Picture"/>
            <a:graphic>
              <a:graphicData uri="http://schemas.openxmlformats.org/drawingml/2006/picture">
                <pic:pic>
                  <pic:nvPicPr>
                    <pic:cNvPr descr="captures/02-finance-vue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6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— Cockpit Finance</w:t>
      </w:r>
    </w:p>
    <w:p>
      <w:pPr>
        <w:pStyle w:val="BodyText"/>
      </w:pPr>
      <w:r>
        <w:rPr>
          <w:i/>
          <w:iCs/>
        </w:rPr>
        <w:t xml:space="preserve">Figure 2 — Cockpit Finance</w:t>
      </w:r>
    </w:p>
    <w:p>
      <w:r>
        <w:pict>
          <v:rect style="width:0;height:1.5pt" o:hralign="center" o:hrstd="t" o:hr="t"/>
        </w:pict>
      </w:r>
    </w:p>
    <w:bookmarkEnd w:id="20"/>
    <w:bookmarkStart w:id="26" w:name="résultat-et-stocks"/>
    <w:p>
      <w:pPr>
        <w:pStyle w:val="Heading2"/>
      </w:pPr>
      <w:r>
        <w:t xml:space="preserve">4. Résultat et stocks</w:t>
      </w:r>
    </w:p>
    <w:bookmarkStart w:id="21" w:name="résultat"/>
    <w:p>
      <w:pPr>
        <w:pStyle w:val="Heading3"/>
      </w:pPr>
      <w:r>
        <w:t xml:space="preserve">Résultat</w:t>
      </w:r>
    </w:p>
    <w:p>
      <w:pPr>
        <w:pStyle w:val="Compact"/>
        <w:numPr>
          <w:ilvl w:val="0"/>
          <w:numId w:val="1004"/>
        </w:numPr>
      </w:pPr>
      <w:r>
        <w:t xml:space="preserve">Suivre</w:t>
      </w:r>
      <w:r>
        <w:t xml:space="preserve"> </w:t>
      </w:r>
      <w:r>
        <w:rPr>
          <w:b/>
          <w:bCs/>
        </w:rPr>
        <w:t xml:space="preserve">CA net</w:t>
      </w:r>
      <w:r>
        <w:t xml:space="preserve">,</w:t>
      </w:r>
      <w:r>
        <w:t xml:space="preserve"> </w:t>
      </w:r>
      <w:r>
        <w:rPr>
          <w:b/>
          <w:bCs/>
        </w:rPr>
        <w:t xml:space="preserve">marge brute</w:t>
      </w:r>
      <w:r>
        <w:t xml:space="preserve">,</w:t>
      </w:r>
      <w:r>
        <w:t xml:space="preserve"> </w:t>
      </w:r>
      <w:r>
        <w:rPr>
          <w:b/>
          <w:bCs/>
        </w:rPr>
        <w:t xml:space="preserve">taux de marge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Ventilation</w:t>
      </w:r>
      <w:r>
        <w:t xml:space="preserve"> </w:t>
      </w:r>
      <w:r>
        <w:rPr>
          <w:b/>
          <w:bCs/>
        </w:rPr>
        <w:t xml:space="preserve">par boutique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par mode de paiement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Croiser avec le reporting ventes si besoin (</w:t>
      </w:r>
      <w:r>
        <w:rPr>
          <w:rStyle w:val="VerbatimChar"/>
        </w:rPr>
        <w:t xml:space="preserve">/ventes/reporting</w:t>
      </w:r>
      <w:r>
        <w:t xml:space="preserve">).</w:t>
      </w:r>
    </w:p>
    <w:bookmarkEnd w:id="21"/>
    <w:bookmarkStart w:id="25" w:name="stocks-valorisés"/>
    <w:p>
      <w:pPr>
        <w:pStyle w:val="Heading3"/>
      </w:pPr>
      <w:r>
        <w:t xml:space="preserve">Stocks valorisés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Valeur totale</w:t>
      </w:r>
      <w:r>
        <w:t xml:space="preserve">,</w:t>
      </w:r>
      <w:r>
        <w:t xml:space="preserve"> </w:t>
      </w:r>
      <w:r>
        <w:rPr>
          <w:b/>
          <w:bCs/>
        </w:rPr>
        <w:t xml:space="preserve">ruptures</w:t>
      </w:r>
      <w:r>
        <w:t xml:space="preserve">, articles</w:t>
      </w:r>
      <w:r>
        <w:t xml:space="preserve"> </w:t>
      </w:r>
      <w:r>
        <w:rPr>
          <w:b/>
          <w:bCs/>
        </w:rPr>
        <w:t xml:space="preserve">sous seuil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Santé stock et couverture médiane.</w:t>
      </w:r>
    </w:p>
    <w:p>
      <w:pPr>
        <w:pStyle w:val="Compact"/>
        <w:numPr>
          <w:ilvl w:val="0"/>
          <w:numId w:val="1005"/>
        </w:numPr>
      </w:pPr>
      <w:r>
        <w:t xml:space="preserve">Drill-down par boutique.</w:t>
      </w:r>
    </w:p>
    <w:p>
      <w:pPr>
        <w:pStyle w:val="CaptionedFigure"/>
      </w:pPr>
      <w:r>
        <w:drawing>
          <wp:inline>
            <wp:extent cx="5334000" cy="5806097"/>
            <wp:effectExtent b="0" l="0" r="0" t="0"/>
            <wp:docPr descr="Figure 3 — Résultat / stocks" title="" id="23" name="Picture"/>
            <a:graphic>
              <a:graphicData uri="http://schemas.openxmlformats.org/drawingml/2006/picture">
                <pic:pic>
                  <pic:nvPicPr>
                    <pic:cNvPr descr="captures/03-resultat-stock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6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 — Résultat / stocks</w:t>
      </w:r>
    </w:p>
    <w:p>
      <w:pPr>
        <w:pStyle w:val="BodyText"/>
      </w:pPr>
      <w:r>
        <w:rPr>
          <w:i/>
          <w:iCs/>
        </w:rPr>
        <w:t xml:space="preserve">Figure 3 — Indicateurs résultat ou stocks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trésorerie-réseau"/>
    <w:p>
      <w:pPr>
        <w:pStyle w:val="Heading2"/>
      </w:pPr>
      <w:r>
        <w:t xml:space="preserve">5. Trésorerie réseau</w:t>
      </w:r>
    </w:p>
    <w:p>
      <w:pPr>
        <w:pStyle w:val="FirstParagraph"/>
      </w:pPr>
      <w:r>
        <w:t xml:space="preserve">Depuis Finance (onglet trésorerie) ou menu</w:t>
      </w:r>
      <w:r>
        <w:t xml:space="preserve"> </w:t>
      </w:r>
      <w:r>
        <w:rPr>
          <w:b/>
          <w:bCs/>
        </w:rPr>
        <w:t xml:space="preserve">Trésorerie</w:t>
      </w:r>
      <w:r>
        <w:t xml:space="preserve"> </w:t>
      </w:r>
      <w:r>
        <w:t xml:space="preserve">(</w:t>
      </w:r>
      <w:r>
        <w:rPr>
          <w:rStyle w:val="VerbatimChar"/>
        </w:rPr>
        <w:t xml:space="preserve">/tresorerie</w:t>
      </w:r>
      <w:r>
        <w:t xml:space="preserve">) :</w:t>
      </w:r>
    </w:p>
    <w:p>
      <w:pPr>
        <w:pStyle w:val="Compact"/>
        <w:numPr>
          <w:ilvl w:val="0"/>
          <w:numId w:val="1006"/>
        </w:numPr>
      </w:pPr>
      <w:r>
        <w:t xml:space="preserve">Soldes consolidés</w:t>
      </w:r>
    </w:p>
    <w:p>
      <w:pPr>
        <w:pStyle w:val="Compact"/>
        <w:numPr>
          <w:ilvl w:val="0"/>
          <w:numId w:val="1006"/>
        </w:numPr>
      </w:pPr>
      <w:r>
        <w:t xml:space="preserve">Pipeline des versements (§6.4)</w:t>
      </w:r>
    </w:p>
    <w:p>
      <w:pPr>
        <w:pStyle w:val="Compact"/>
        <w:numPr>
          <w:ilvl w:val="0"/>
          <w:numId w:val="1006"/>
        </w:numPr>
      </w:pPr>
      <w:r>
        <w:t xml:space="preserve">Ageing / retards</w:t>
      </w:r>
    </w:p>
    <w:p>
      <w:pPr>
        <w:pStyle w:val="Compact"/>
        <w:numPr>
          <w:ilvl w:val="0"/>
          <w:numId w:val="1006"/>
        </w:numPr>
      </w:pPr>
      <w:r>
        <w:t xml:space="preserve">Alertes trésorerie</w:t>
      </w:r>
    </w:p>
    <w:p>
      <w:pPr>
        <w:pStyle w:val="FirstParagraph"/>
      </w:pPr>
      <w:r>
        <w:t xml:space="preserve">Raccourcis :</w:t>
      </w:r>
      <w:r>
        <w:t xml:space="preserve"> </w:t>
      </w:r>
      <w:r>
        <w:rPr>
          <w:b/>
          <w:bCs/>
        </w:rPr>
        <w:t xml:space="preserve">Réception DAF</w:t>
      </w:r>
      <w:r>
        <w:t xml:space="preserve">,</w:t>
      </w:r>
      <w:r>
        <w:t xml:space="preserve"> </w:t>
      </w:r>
      <w:r>
        <w:rPr>
          <w:b/>
          <w:bCs/>
        </w:rPr>
        <w:t xml:space="preserve">Litiges</w:t>
      </w:r>
      <w:r>
        <w:t xml:space="preserve">,</w:t>
      </w:r>
      <w:r>
        <w:t xml:space="preserve"> </w:t>
      </w:r>
      <w:r>
        <w:rPr>
          <w:b/>
          <w:bCs/>
        </w:rPr>
        <w:t xml:space="preserve">Caisses</w:t>
      </w:r>
      <w:r>
        <w:t xml:space="preserve">.</w:t>
      </w:r>
    </w:p>
    <w:p>
      <w:pPr>
        <w:pStyle w:val="CaptionedFigure"/>
      </w:pPr>
      <w:r>
        <w:drawing>
          <wp:inline>
            <wp:extent cx="5334000" cy="5806097"/>
            <wp:effectExtent b="0" l="0" r="0" t="0"/>
            <wp:docPr descr="Figure 4 — Trésorerie" title="" id="28" name="Picture"/>
            <a:graphic>
              <a:graphicData uri="http://schemas.openxmlformats.org/drawingml/2006/picture">
                <pic:pic>
                  <pic:nvPicPr>
                    <pic:cNvPr descr="captures/04-tresoreri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6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 — Trésorerie</w:t>
      </w:r>
    </w:p>
    <w:p>
      <w:pPr>
        <w:pStyle w:val="BodyText"/>
      </w:pPr>
      <w:r>
        <w:rPr>
          <w:i/>
          <w:iCs/>
        </w:rPr>
        <w:t xml:space="preserve">Figure 4 — Trésorerie réseau</w:t>
      </w:r>
    </w:p>
    <w:p>
      <w:r>
        <w:pict>
          <v:rect style="width:0;height:1.5pt" o:hralign="center" o:hrstd="t" o:hr="t"/>
        </w:pict>
      </w:r>
    </w:p>
    <w:bookmarkEnd w:id="30"/>
    <w:bookmarkStart w:id="34" w:name="validation-des-versements-niveau-2"/>
    <w:p>
      <w:pPr>
        <w:pStyle w:val="Heading2"/>
      </w:pPr>
      <w:r>
        <w:t xml:space="preserve">6. Validation des versements (niveau 2)</w:t>
      </w:r>
    </w:p>
    <w:p>
      <w:pPr>
        <w:pStyle w:val="FirstParagraph"/>
      </w:pPr>
      <w:r>
        <w:t xml:space="preserve">Même workflow que le Caissier central (voir aussi le</w:t>
      </w:r>
      <w:r>
        <w:t xml:space="preserve"> </w:t>
      </w:r>
      <w:r>
        <w:rPr>
          <w:i/>
          <w:iCs/>
        </w:rPr>
        <w:t xml:space="preserve">Manuel trésorerie centrale</w:t>
      </w:r>
      <w:r>
        <w:t xml:space="preserve">) 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Trésorerie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Réception DAF</w:t>
      </w:r>
    </w:p>
    <w:p>
      <w:pPr>
        <w:pStyle w:val="Compact"/>
        <w:numPr>
          <w:ilvl w:val="0"/>
          <w:numId w:val="1007"/>
        </w:numPr>
      </w:pPr>
      <w:r>
        <w:t xml:space="preserve">Ouvrir un versement</w:t>
      </w:r>
      <w:r>
        <w:t xml:space="preserve"> </w:t>
      </w:r>
      <w:r>
        <w:rPr>
          <w:b/>
          <w:bCs/>
        </w:rPr>
        <w:t xml:space="preserve">En transit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Réceptionner (DAF / Caissier central)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Rapprocher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Validée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Litige</w:t>
      </w:r>
    </w:p>
    <w:p>
      <w:pPr>
        <w:pStyle w:val="FirstParagraph"/>
      </w:pPr>
      <w:r>
        <w:t xml:space="preserve">Le DAF intervient aussi pour les</w:t>
      </w:r>
      <w:r>
        <w:t xml:space="preserve"> </w:t>
      </w:r>
      <w:r>
        <w:rPr>
          <w:b/>
          <w:bCs/>
        </w:rPr>
        <w:t xml:space="preserve">seuils / validations de niveau 2</w:t>
      </w:r>
      <w:r>
        <w:t xml:space="preserve"> </w:t>
      </w:r>
      <w:r>
        <w:t xml:space="preserve">et le pilotage des retards.</w:t>
      </w:r>
    </w:p>
    <w:p>
      <w:pPr>
        <w:pStyle w:val="CaptionedFigure"/>
      </w:pPr>
      <w:r>
        <w:drawing>
          <wp:inline>
            <wp:extent cx="5334000" cy="5806097"/>
            <wp:effectExtent b="0" l="0" r="0" t="0"/>
            <wp:docPr descr="Figure 5 — Réception DAF" title="" id="32" name="Picture"/>
            <a:graphic>
              <a:graphicData uri="http://schemas.openxmlformats.org/drawingml/2006/picture">
                <pic:pic>
                  <pic:nvPicPr>
                    <pic:cNvPr descr="captures/05-reception-daf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6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 — Réception DAF</w:t>
      </w:r>
    </w:p>
    <w:p>
      <w:pPr>
        <w:pStyle w:val="BodyText"/>
      </w:pPr>
      <w:r>
        <w:rPr>
          <w:i/>
          <w:iCs/>
        </w:rPr>
        <w:t xml:space="preserve">Figure 5 — Réception / validation</w:t>
      </w:r>
    </w:p>
    <w:p>
      <w:r>
        <w:pict>
          <v:rect style="width:0;height:1.5pt" o:hralign="center" o:hrstd="t" o:hr="t"/>
        </w:pict>
      </w:r>
    </w:p>
    <w:bookmarkEnd w:id="34"/>
    <w:bookmarkStart w:id="38" w:name="alertes-et-litiges"/>
    <w:p>
      <w:pPr>
        <w:pStyle w:val="Heading2"/>
      </w:pPr>
      <w:r>
        <w:t xml:space="preserve">7. Alertes et litiges</w:t>
      </w:r>
    </w:p>
    <w:p>
      <w:pPr>
        <w:pStyle w:val="Compact"/>
        <w:numPr>
          <w:ilvl w:val="0"/>
          <w:numId w:val="1008"/>
        </w:numPr>
      </w:pPr>
      <w:r>
        <w:t xml:space="preserve">Menu</w:t>
      </w:r>
      <w:r>
        <w:t xml:space="preserve"> </w:t>
      </w:r>
      <w:r>
        <w:rPr>
          <w:b/>
          <w:bCs/>
        </w:rPr>
        <w:t xml:space="preserve">Alertes</w:t>
      </w:r>
      <w:r>
        <w:t xml:space="preserve"> </w:t>
      </w:r>
      <w:r>
        <w:t xml:space="preserve">(</w:t>
      </w:r>
      <w:r>
        <w:rPr>
          <w:rStyle w:val="VerbatimChar"/>
        </w:rPr>
        <w:t xml:space="preserve">/alertes</w:t>
      </w:r>
      <w:r>
        <w:t xml:space="preserve">) : écarts de caisse, versements en retard, accès refusés (§6.7).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Litiges</w:t>
      </w:r>
      <w:r>
        <w:t xml:space="preserve"> </w:t>
      </w:r>
      <w:r>
        <w:t xml:space="preserve">(</w:t>
      </w:r>
      <w:r>
        <w:rPr>
          <w:rStyle w:val="VerbatimChar"/>
        </w:rPr>
        <w:t xml:space="preserve">/litiges</w:t>
      </w:r>
      <w:r>
        <w:t xml:space="preserve">) :</w:t>
      </w:r>
      <w:r>
        <w:t xml:space="preserve"> </w:t>
      </w:r>
      <w:r>
        <w:rPr>
          <w:b/>
          <w:bCs/>
        </w:rPr>
        <w:t xml:space="preserve">Régulariser → VALIDÉE</w:t>
      </w:r>
      <w:r>
        <w:t xml:space="preserve"> </w:t>
      </w:r>
      <w:r>
        <w:t xml:space="preserve">avec motif (DAF / Contrôle).</w:t>
      </w:r>
    </w:p>
    <w:p>
      <w:pPr>
        <w:pStyle w:val="CaptionedFigure"/>
      </w:pPr>
      <w:r>
        <w:drawing>
          <wp:inline>
            <wp:extent cx="5334000" cy="5806097"/>
            <wp:effectExtent b="0" l="0" r="0" t="0"/>
            <wp:docPr descr="Figure 6 — Alertes / litiges" title="" id="36" name="Picture"/>
            <a:graphic>
              <a:graphicData uri="http://schemas.openxmlformats.org/drawingml/2006/picture">
                <pic:pic>
                  <pic:nvPicPr>
                    <pic:cNvPr descr="captures/06-alertes-litige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6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 — Alertes / litiges</w:t>
      </w:r>
    </w:p>
    <w:p>
      <w:pPr>
        <w:pStyle w:val="BodyText"/>
      </w:pPr>
      <w:r>
        <w:rPr>
          <w:i/>
          <w:iCs/>
        </w:rPr>
        <w:t xml:space="preserve">Figure 6 — Alertes ou litiges</w:t>
      </w:r>
    </w:p>
    <w:p>
      <w:r>
        <w:pict>
          <v:rect style="width:0;height:1.5pt" o:hralign="center" o:hrstd="t" o:hr="t"/>
        </w:pict>
      </w:r>
    </w:p>
    <w:bookmarkEnd w:id="38"/>
    <w:bookmarkStart w:id="39" w:name="achats-comptabilité-aperçu"/>
    <w:p>
      <w:pPr>
        <w:pStyle w:val="Heading2"/>
      </w:pPr>
      <w:r>
        <w:t xml:space="preserve">8. Achats &amp; comptabilité (aperçu)</w:t>
      </w:r>
    </w:p>
    <w:p>
      <w:pPr>
        <w:pStyle w:val="FirstParagraph"/>
      </w:pPr>
      <w:r>
        <w:t xml:space="preserve">Le DAF dispose aussi, selon menu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Domaine</w:t>
            </w:r>
          </w:p>
        </w:tc>
        <w:tc>
          <w:tcPr/>
          <w:p>
            <w:pPr>
              <w:pStyle w:val="Compact"/>
            </w:pPr>
            <w:r>
              <w:t xml:space="preserve">Routes utiles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Approbation commandes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/achats/commandes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/achats/planning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Factures fournisseur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/achats/factures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Comptabilité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/finance/comptabilite</w:t>
            </w:r>
          </w:p>
        </w:tc>
      </w:tr>
    </w:tbl>
    <w:p>
      <w:pPr>
        <w:pStyle w:val="BodyText"/>
      </w:pPr>
      <w:r>
        <w:t xml:space="preserve">Détail opérationnel Achats : voir le</w:t>
      </w:r>
      <w:r>
        <w:t xml:space="preserve"> </w:t>
      </w:r>
      <w:r>
        <w:rPr>
          <w:i/>
          <w:iCs/>
        </w:rPr>
        <w:t xml:space="preserve">Manuel Stocks &amp; Achats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0" w:name="ce-que-le-daf-ne-fait-pas"/>
    <w:p>
      <w:pPr>
        <w:pStyle w:val="Heading2"/>
      </w:pPr>
      <w:r>
        <w:t xml:space="preserve">9. Ce que le DAF ne fait pas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DAF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Encaisser en boutique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Configurer le SI (zones, users)</w:t>
            </w:r>
          </w:p>
        </w:tc>
        <w:tc>
          <w:tcPr/>
          <w:p>
            <w:pPr>
              <w:pStyle w:val="Compact"/>
            </w:pPr>
            <w:r>
              <w:t xml:space="preserve">Non (Responsable SI)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campagnes CRM</w:t>
            </w:r>
          </w:p>
        </w:tc>
        <w:tc>
          <w:tcPr/>
          <w:p>
            <w:pPr>
              <w:pStyle w:val="Compact"/>
            </w:pPr>
            <w:r>
              <w:t xml:space="preserve">Non (Responsable CRM)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Réceptionner / valider versements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Piloter résultat / stocks / cash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incidents-fréquents"/>
    <w:p>
      <w:pPr>
        <w:pStyle w:val="Heading2"/>
      </w:pPr>
      <w:r>
        <w:t xml:space="preserve">10. Incidents fréquents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Symptôme</w:t>
            </w:r>
          </w:p>
        </w:tc>
        <w:tc>
          <w:tcPr/>
          <w:p>
            <w:pPr>
              <w:pStyle w:val="Compact"/>
            </w:pPr>
            <w:r>
              <w:t xml:space="preserve">Que faire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Chiffres Finance vides</w:t>
            </w:r>
          </w:p>
        </w:tc>
        <w:tc>
          <w:tcPr/>
          <w:p>
            <w:pPr>
              <w:pStyle w:val="Compact"/>
            </w:pPr>
            <w:r>
              <w:t xml:space="preserve">Vérifier période / filtre magasin-siège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Versement bloqué En transit</w:t>
            </w:r>
          </w:p>
        </w:tc>
        <w:tc>
          <w:tcPr/>
          <w:p>
            <w:pPr>
              <w:pStyle w:val="Compact"/>
            </w:pPr>
            <w:r>
              <w:t xml:space="preserve">Traiter</w:t>
            </w:r>
            <w:r>
              <w:t xml:space="preserve"> </w:t>
            </w:r>
            <w:r>
              <w:rPr>
                <w:b/>
                <w:bCs/>
              </w:rPr>
              <w:t xml:space="preserve">Réception DAF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Litige ouvert</w:t>
            </w:r>
          </w:p>
        </w:tc>
        <w:tc>
          <w:tcPr/>
          <w:p>
            <w:pPr>
              <w:pStyle w:val="Compact"/>
            </w:pPr>
            <w:r>
              <w:t xml:space="preserve">Régulariser avec motif documenté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CSV indisponible</w:t>
            </w:r>
          </w:p>
        </w:tc>
        <w:tc>
          <w:tcPr/>
          <w:p>
            <w:pPr>
              <w:pStyle w:val="Compact"/>
            </w:pPr>
            <w:r>
              <w:t xml:space="preserve">Droits rôle / période trop large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comptes-démo"/>
    <w:p>
      <w:pPr>
        <w:pStyle w:val="Heading2"/>
      </w:pPr>
      <w:r>
        <w:t xml:space="preserve">11. Comptes démo</w:t>
      </w:r>
    </w:p>
    <w:p>
      <w:pPr>
        <w:pStyle w:val="FirstParagraph"/>
      </w:pPr>
      <w:r>
        <w:t xml:space="preserve">Mot de passe seed :</w:t>
      </w:r>
      <w:r>
        <w:t xml:space="preserve"> </w:t>
      </w:r>
      <w:r>
        <w:rPr>
          <w:rStyle w:val="VerbatimChar"/>
        </w:rPr>
        <w:t xml:space="preserve">MotDePasse!123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Identifiant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demo-daf</w:t>
            </w:r>
          </w:p>
        </w:tc>
        <w:tc>
          <w:tcPr/>
          <w:p>
            <w:pPr>
              <w:pStyle w:val="Compact"/>
            </w:pPr>
            <w:r>
              <w:t xml:space="preserve">DAF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demo-dg</w:t>
            </w:r>
          </w:p>
        </w:tc>
        <w:tc>
          <w:tcPr/>
          <w:p>
            <w:pPr>
              <w:pStyle w:val="Compact"/>
            </w:pPr>
            <w:r>
              <w:t xml:space="preserve">Direction générale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demo-central</w:t>
            </w:r>
          </w:p>
        </w:tc>
        <w:tc>
          <w:tcPr/>
          <w:p>
            <w:pPr>
              <w:pStyle w:val="Compact"/>
            </w:pPr>
            <w:r>
              <w:t xml:space="preserve">Caissier central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demo-controle</w:t>
            </w:r>
          </w:p>
        </w:tc>
        <w:tc>
          <w:tcPr/>
          <w:p>
            <w:pPr>
              <w:pStyle w:val="Compact"/>
            </w:pPr>
            <w:r>
              <w:t xml:space="preserve">Contrôleur interne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checklist-daf-périodique"/>
    <w:p>
      <w:pPr>
        <w:pStyle w:val="Heading2"/>
      </w:pPr>
      <w:r>
        <w:t xml:space="preserve">Checklist DAF (périodique)</w:t>
      </w:r>
    </w:p>
    <w:p>
      <w:pPr>
        <w:pStyle w:val="Compact"/>
        <w:numPr>
          <w:ilvl w:val="0"/>
          <w:numId w:val="1009"/>
        </w:numPr>
      </w:pPr>
      <w:r>
        <w:t xml:space="preserve">Cockpit</w:t>
      </w:r>
      <w:r>
        <w:t xml:space="preserve"> </w:t>
      </w:r>
      <w:r>
        <w:rPr>
          <w:b/>
          <w:bCs/>
        </w:rPr>
        <w:t xml:space="preserve">Finance</w:t>
      </w:r>
      <w:r>
        <w:t xml:space="preserve"> </w:t>
      </w:r>
      <w:r>
        <w:t xml:space="preserve">(résultat, stocks, cash)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File</w:t>
      </w:r>
      <w:r>
        <w:t xml:space="preserve"> </w:t>
      </w:r>
      <w:r>
        <w:rPr>
          <w:b/>
          <w:bCs/>
        </w:rPr>
        <w:t xml:space="preserve">Réception DAF</w:t>
      </w:r>
      <w:r>
        <w:t xml:space="preserve"> </w:t>
      </w:r>
      <w:r>
        <w:t xml:space="preserve">à jour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Litiges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Alertes</w:t>
      </w:r>
      <w:r>
        <w:t xml:space="preserve"> </w:t>
      </w:r>
      <w:r>
        <w:t xml:space="preserve">traités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Approbations achats en attente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Exports / reporting pour la Direction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couvrant le pilotage DAF (§4, §6.2, §6.4, reporting).</w:t>
      </w:r>
      <w:r>
        <w:br/>
      </w:r>
      <w:r>
        <w:rPr>
          <w:i/>
          <w:iCs/>
        </w:rPr>
        <w:t xml:space="preserve">MAJOR AUTO PARTS · CaissePOS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2026-08-29T21:26:33Z</dcterms:created>
  <dcterms:modified xsi:type="dcterms:W3CDTF">2026-08-29T21:26:33Z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