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B97" w:rsidRDefault="00673B97">
      <w:pPr>
        <w:pStyle w:val="Corpsdetexte"/>
        <w:spacing w:before="0"/>
        <w:rPr>
          <w:rFonts w:ascii="Times New Roman"/>
          <w:sz w:val="32"/>
          <w:u w:val="none"/>
        </w:rPr>
      </w:pPr>
    </w:p>
    <w:p w:rsidR="00673B97" w:rsidRDefault="00673B97">
      <w:pPr>
        <w:pStyle w:val="Corpsdetexte"/>
        <w:spacing w:before="8"/>
        <w:rPr>
          <w:rFonts w:ascii="Times New Roman"/>
          <w:sz w:val="44"/>
          <w:u w:val="none"/>
        </w:rPr>
      </w:pPr>
    </w:p>
    <w:p w:rsidR="00477B4D" w:rsidRDefault="00000000" w:rsidP="00477B4D">
      <w:pPr>
        <w:pStyle w:val="Titre1"/>
        <w:numPr>
          <w:ilvl w:val="0"/>
          <w:numId w:val="1"/>
        </w:numPr>
        <w:tabs>
          <w:tab w:val="left" w:pos="776"/>
          <w:tab w:val="left" w:pos="777"/>
        </w:tabs>
        <w:ind w:hanging="517"/>
        <w:jc w:val="left"/>
      </w:pPr>
      <w:r w:rsidRPr="00477B4D">
        <w:rPr>
          <w:b/>
          <w:bCs/>
          <w:color w:val="2E5395"/>
        </w:rPr>
        <w:t>Explo</w:t>
      </w:r>
      <w:r>
        <w:rPr>
          <w:color w:val="2E5395"/>
        </w:rPr>
        <w:t>ration</w:t>
      </w:r>
      <w:r w:rsidR="00477B4D">
        <w:t xml:space="preserve"> </w:t>
      </w:r>
    </w:p>
    <w:p w:rsidR="00673B97" w:rsidRDefault="00000000">
      <w:pPr>
        <w:pStyle w:val="Titre"/>
      </w:pPr>
      <w:r>
        <w:br w:type="column"/>
      </w:r>
      <w:r>
        <w:rPr>
          <w:spacing w:val="-10"/>
        </w:rPr>
        <w:t>Notebook</w:t>
      </w:r>
      <w:r>
        <w:rPr>
          <w:spacing w:val="-20"/>
        </w:rPr>
        <w:t xml:space="preserve"> </w:t>
      </w:r>
      <w:r>
        <w:rPr>
          <w:spacing w:val="-10"/>
        </w:rPr>
        <w:t>Kaggle</w:t>
      </w:r>
    </w:p>
    <w:p w:rsidR="00673B97" w:rsidRDefault="00673B97">
      <w:pPr>
        <w:sectPr w:rsidR="00673B97">
          <w:type w:val="continuous"/>
          <w:pgSz w:w="11910" w:h="16840"/>
          <w:pgMar w:top="1440" w:right="1500" w:bottom="280" w:left="1000" w:header="720" w:footer="720" w:gutter="0"/>
          <w:cols w:num="2" w:space="720" w:equalWidth="0">
            <w:col w:w="2279" w:space="578"/>
            <w:col w:w="6553"/>
          </w:cols>
        </w:sectPr>
      </w:pPr>
    </w:p>
    <w:p w:rsidR="00477B4D" w:rsidRDefault="00477B4D">
      <w:pPr>
        <w:spacing w:before="56"/>
        <w:ind w:left="416"/>
        <w:rPr>
          <w:sz w:val="21"/>
          <w:szCs w:val="21"/>
          <w:u w:val="single" w:color="000000"/>
        </w:rPr>
      </w:pPr>
      <w:hyperlink r:id="rId5" w:history="1">
        <w:r w:rsidRPr="008C153D">
          <w:rPr>
            <w:rStyle w:val="Lienhypertexte"/>
            <w:sz w:val="21"/>
            <w:szCs w:val="21"/>
          </w:rPr>
          <w:t>https://www.kaggle.com/code/ris320/novoenzyme-protbert-xgboost/data</w:t>
        </w:r>
      </w:hyperlink>
    </w:p>
    <w:p w:rsidR="00673B97" w:rsidRDefault="00000000">
      <w:pPr>
        <w:spacing w:before="56"/>
        <w:ind w:left="416"/>
        <w:rPr>
          <w:rFonts w:ascii="Calibri"/>
        </w:rPr>
      </w:pPr>
      <w:r>
        <w:rPr>
          <w:rFonts w:ascii="Calibri"/>
        </w:rPr>
        <w:t>score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pylint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 w:rsidR="00F12161" w:rsidRPr="00F12161">
        <w:rPr>
          <w:rFonts w:ascii="Calibri"/>
          <w:spacing w:val="-3"/>
        </w:rPr>
        <w:t>-0.032</w:t>
      </w:r>
      <w:r>
        <w:rPr>
          <w:rFonts w:ascii="Calibri"/>
        </w:rPr>
        <w:t>/10</w:t>
      </w:r>
    </w:p>
    <w:p w:rsidR="00673B97" w:rsidRDefault="00673B97">
      <w:pPr>
        <w:pStyle w:val="Corpsdetexte"/>
        <w:spacing w:before="6"/>
        <w:rPr>
          <w:rFonts w:ascii="Calibri"/>
          <w:u w:val="none"/>
        </w:rPr>
      </w:pPr>
    </w:p>
    <w:p w:rsidR="00673B97" w:rsidRDefault="00000000">
      <w:pPr>
        <w:pStyle w:val="Titre1"/>
        <w:numPr>
          <w:ilvl w:val="0"/>
          <w:numId w:val="1"/>
        </w:numPr>
        <w:tabs>
          <w:tab w:val="left" w:pos="776"/>
          <w:tab w:val="left" w:pos="777"/>
        </w:tabs>
        <w:spacing w:before="1"/>
        <w:ind w:hanging="596"/>
        <w:jc w:val="left"/>
      </w:pPr>
      <w:proofErr w:type="spellStart"/>
      <w:r>
        <w:rPr>
          <w:color w:val="2E5395"/>
        </w:rPr>
        <w:t>Modélisation</w:t>
      </w:r>
      <w:proofErr w:type="spellEnd"/>
    </w:p>
    <w:p w:rsidR="00477B4D" w:rsidRDefault="00477B4D">
      <w:pPr>
        <w:pStyle w:val="Corpsdetexte"/>
        <w:spacing w:line="417" w:lineRule="auto"/>
        <w:ind w:left="416" w:right="102"/>
      </w:pPr>
      <w:hyperlink r:id="rId6" w:history="1">
        <w:r w:rsidRPr="008C153D">
          <w:rPr>
            <w:rStyle w:val="Lienhypertexte"/>
          </w:rPr>
          <w:t>https://www.kaggle.com/code/cdeotte/xgboost-5000-mutations-200-pdb-files-lb-0-410/comments?scriptVersionId=109217209</w:t>
        </w:r>
      </w:hyperlink>
    </w:p>
    <w:p w:rsidR="00673B97" w:rsidRDefault="00000000">
      <w:pPr>
        <w:pStyle w:val="Corpsdetexte"/>
        <w:spacing w:line="417" w:lineRule="auto"/>
        <w:ind w:left="416" w:right="102"/>
        <w:rPr>
          <w:u w:val="none"/>
        </w:rPr>
      </w:pPr>
      <w:r>
        <w:rPr>
          <w:u w:val="none"/>
        </w:rPr>
        <w:t>score</w:t>
      </w:r>
      <w:r>
        <w:rPr>
          <w:spacing w:val="-2"/>
          <w:u w:val="none"/>
        </w:rPr>
        <w:t xml:space="preserve"> </w:t>
      </w:r>
      <w:proofErr w:type="spellStart"/>
      <w:r>
        <w:rPr>
          <w:u w:val="none"/>
        </w:rPr>
        <w:t>pylint</w:t>
      </w:r>
      <w:proofErr w:type="spellEnd"/>
      <w:r>
        <w:rPr>
          <w:spacing w:val="-2"/>
          <w:u w:val="none"/>
        </w:rPr>
        <w:t xml:space="preserve"> </w:t>
      </w:r>
      <w:r>
        <w:rPr>
          <w:u w:val="none"/>
        </w:rPr>
        <w:t>=</w:t>
      </w:r>
      <w:r>
        <w:rPr>
          <w:spacing w:val="-2"/>
          <w:u w:val="none"/>
        </w:rPr>
        <w:t xml:space="preserve"> </w:t>
      </w:r>
      <w:r w:rsidR="00F12161" w:rsidRPr="00F12161">
        <w:rPr>
          <w:u w:val="none"/>
        </w:rPr>
        <w:t>0.408</w:t>
      </w:r>
      <w:r>
        <w:rPr>
          <w:u w:val="none"/>
        </w:rPr>
        <w:t>/10</w:t>
      </w:r>
    </w:p>
    <w:p w:rsidR="00673B97" w:rsidRDefault="00000000">
      <w:pPr>
        <w:pStyle w:val="Titre1"/>
        <w:numPr>
          <w:ilvl w:val="0"/>
          <w:numId w:val="1"/>
        </w:numPr>
        <w:tabs>
          <w:tab w:val="left" w:pos="776"/>
          <w:tab w:val="left" w:pos="777"/>
        </w:tabs>
        <w:spacing w:before="80"/>
        <w:ind w:hanging="673"/>
        <w:jc w:val="left"/>
      </w:pPr>
      <w:proofErr w:type="spellStart"/>
      <w:r>
        <w:rPr>
          <w:color w:val="2E5395"/>
        </w:rPr>
        <w:t>Soumission</w:t>
      </w:r>
      <w:proofErr w:type="spellEnd"/>
    </w:p>
    <w:p w:rsidR="00673B97" w:rsidRDefault="00477B4D">
      <w:pPr>
        <w:pStyle w:val="Corpsdetexte"/>
        <w:spacing w:before="2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  </w:t>
      </w:r>
      <w:hyperlink r:id="rId7" w:history="1">
        <w:r w:rsidR="00F12161" w:rsidRPr="008C153D">
          <w:rPr>
            <w:rStyle w:val="Lienhypertexte"/>
            <w:sz w:val="22"/>
            <w:szCs w:val="22"/>
          </w:rPr>
          <w:t>https://www.kaggle.com/code/loousmane/pr-diction-de-la-stabilit-des-enzymes-novozymes/edit/run/113742817</w:t>
        </w:r>
      </w:hyperlink>
    </w:p>
    <w:p w:rsidR="00477B4D" w:rsidRDefault="00477B4D">
      <w:pPr>
        <w:pStyle w:val="Corpsdetexte"/>
        <w:spacing w:before="2"/>
        <w:rPr>
          <w:rFonts w:ascii="Calibri"/>
          <w:sz w:val="10"/>
          <w:u w:val="none"/>
        </w:rPr>
      </w:pPr>
    </w:p>
    <w:p w:rsidR="00673B97" w:rsidRDefault="00000000">
      <w:pPr>
        <w:spacing w:before="56"/>
        <w:ind w:left="416"/>
        <w:rPr>
          <w:rFonts w:ascii="Calibri"/>
        </w:rPr>
      </w:pPr>
      <w:r>
        <w:rPr>
          <w:rFonts w:ascii="Calibri"/>
        </w:rPr>
        <w:t>score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pylint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9.62/10</w:t>
      </w:r>
    </w:p>
    <w:sectPr w:rsidR="00673B97">
      <w:type w:val="continuous"/>
      <w:pgSz w:w="11910" w:h="16840"/>
      <w:pgMar w:top="1440" w:right="15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2605"/>
    <w:multiLevelType w:val="hybridMultilevel"/>
    <w:tmpl w:val="A0C4314C"/>
    <w:lvl w:ilvl="0" w:tplc="98F43EDE">
      <w:start w:val="1"/>
      <w:numFmt w:val="upperRoman"/>
      <w:lvlText w:val="%1."/>
      <w:lvlJc w:val="left"/>
      <w:pPr>
        <w:ind w:left="776" w:hanging="516"/>
        <w:jc w:val="right"/>
      </w:pPr>
      <w:rPr>
        <w:rFonts w:ascii="Calibri Light" w:eastAsia="Calibri Light" w:hAnsi="Calibri Light" w:cs="Calibri Light" w:hint="default"/>
        <w:color w:val="2E5395"/>
        <w:spacing w:val="0"/>
        <w:w w:val="99"/>
        <w:sz w:val="32"/>
        <w:szCs w:val="32"/>
        <w:lang w:val="en-US" w:eastAsia="en-US" w:bidi="ar-SA"/>
      </w:rPr>
    </w:lvl>
    <w:lvl w:ilvl="1" w:tplc="50DEE808">
      <w:numFmt w:val="bullet"/>
      <w:lvlText w:val="•"/>
      <w:lvlJc w:val="left"/>
      <w:pPr>
        <w:ind w:left="929" w:hanging="516"/>
      </w:pPr>
      <w:rPr>
        <w:rFonts w:hint="default"/>
        <w:lang w:val="en-US" w:eastAsia="en-US" w:bidi="ar-SA"/>
      </w:rPr>
    </w:lvl>
    <w:lvl w:ilvl="2" w:tplc="F888355C">
      <w:numFmt w:val="bullet"/>
      <w:lvlText w:val="•"/>
      <w:lvlJc w:val="left"/>
      <w:pPr>
        <w:ind w:left="1079" w:hanging="516"/>
      </w:pPr>
      <w:rPr>
        <w:rFonts w:hint="default"/>
        <w:lang w:val="en-US" w:eastAsia="en-US" w:bidi="ar-SA"/>
      </w:rPr>
    </w:lvl>
    <w:lvl w:ilvl="3" w:tplc="5C84CA60">
      <w:numFmt w:val="bullet"/>
      <w:lvlText w:val="•"/>
      <w:lvlJc w:val="left"/>
      <w:pPr>
        <w:ind w:left="1229" w:hanging="516"/>
      </w:pPr>
      <w:rPr>
        <w:rFonts w:hint="default"/>
        <w:lang w:val="en-US" w:eastAsia="en-US" w:bidi="ar-SA"/>
      </w:rPr>
    </w:lvl>
    <w:lvl w:ilvl="4" w:tplc="6A944078">
      <w:numFmt w:val="bullet"/>
      <w:lvlText w:val="•"/>
      <w:lvlJc w:val="left"/>
      <w:pPr>
        <w:ind w:left="1379" w:hanging="516"/>
      </w:pPr>
      <w:rPr>
        <w:rFonts w:hint="default"/>
        <w:lang w:val="en-US" w:eastAsia="en-US" w:bidi="ar-SA"/>
      </w:rPr>
    </w:lvl>
    <w:lvl w:ilvl="5" w:tplc="A9D04200">
      <w:numFmt w:val="bullet"/>
      <w:lvlText w:val="•"/>
      <w:lvlJc w:val="left"/>
      <w:pPr>
        <w:ind w:left="1529" w:hanging="516"/>
      </w:pPr>
      <w:rPr>
        <w:rFonts w:hint="default"/>
        <w:lang w:val="en-US" w:eastAsia="en-US" w:bidi="ar-SA"/>
      </w:rPr>
    </w:lvl>
    <w:lvl w:ilvl="6" w:tplc="6AB41B78">
      <w:numFmt w:val="bullet"/>
      <w:lvlText w:val="•"/>
      <w:lvlJc w:val="left"/>
      <w:pPr>
        <w:ind w:left="1679" w:hanging="516"/>
      </w:pPr>
      <w:rPr>
        <w:rFonts w:hint="default"/>
        <w:lang w:val="en-US" w:eastAsia="en-US" w:bidi="ar-SA"/>
      </w:rPr>
    </w:lvl>
    <w:lvl w:ilvl="7" w:tplc="5052CECE">
      <w:numFmt w:val="bullet"/>
      <w:lvlText w:val="•"/>
      <w:lvlJc w:val="left"/>
      <w:pPr>
        <w:ind w:left="1828" w:hanging="516"/>
      </w:pPr>
      <w:rPr>
        <w:rFonts w:hint="default"/>
        <w:lang w:val="en-US" w:eastAsia="en-US" w:bidi="ar-SA"/>
      </w:rPr>
    </w:lvl>
    <w:lvl w:ilvl="8" w:tplc="3F9251E0">
      <w:numFmt w:val="bullet"/>
      <w:lvlText w:val="•"/>
      <w:lvlJc w:val="left"/>
      <w:pPr>
        <w:ind w:left="1978" w:hanging="516"/>
      </w:pPr>
      <w:rPr>
        <w:rFonts w:hint="default"/>
        <w:lang w:val="en-US" w:eastAsia="en-US" w:bidi="ar-SA"/>
      </w:rPr>
    </w:lvl>
  </w:abstractNum>
  <w:num w:numId="1" w16cid:durableId="181594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97"/>
    <w:rsid w:val="00477B4D"/>
    <w:rsid w:val="00673B97"/>
    <w:rsid w:val="00F12161"/>
    <w:rsid w:val="00FA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2BB9"/>
  <w15:docId w15:val="{04B43666-E8CA-4C3D-9A81-725756EC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itre1">
    <w:name w:val="heading 1"/>
    <w:basedOn w:val="Normal"/>
    <w:uiPriority w:val="9"/>
    <w:qFormat/>
    <w:pPr>
      <w:ind w:left="776" w:hanging="673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31"/>
    </w:pPr>
    <w:rPr>
      <w:sz w:val="21"/>
      <w:szCs w:val="21"/>
      <w:u w:val="single" w:color="000000"/>
    </w:rPr>
  </w:style>
  <w:style w:type="paragraph" w:styleId="Titre">
    <w:name w:val="Title"/>
    <w:basedOn w:val="Normal"/>
    <w:uiPriority w:val="10"/>
    <w:qFormat/>
    <w:pPr>
      <w:spacing w:line="641" w:lineRule="exact"/>
      <w:ind w:left="260"/>
    </w:pPr>
    <w:rPr>
      <w:rFonts w:ascii="Calibri Light" w:eastAsia="Calibri Light" w:hAnsi="Calibri Light" w:cs="Calibri Light"/>
      <w:sz w:val="56"/>
      <w:szCs w:val="56"/>
    </w:rPr>
  </w:style>
  <w:style w:type="paragraph" w:styleId="Paragraphedeliste">
    <w:name w:val="List Paragraph"/>
    <w:basedOn w:val="Normal"/>
    <w:uiPriority w:val="1"/>
    <w:qFormat/>
    <w:pPr>
      <w:ind w:left="776" w:hanging="673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477B4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7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loousmane/pr-diction-de-la-stabilit-des-enzymes-novozymes/edit/run/1137428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cdeotte/xgboost-5000-mutations-200-pdb-files-lb-0-410/comments?scriptVersionId=109217209" TargetMode="External"/><Relationship Id="rId5" Type="http://schemas.openxmlformats.org/officeDocument/2006/relationships/hyperlink" Target="https://www.kaggle.com/code/ris320/novoenzyme-protbert-xgboost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Erwan Chesneau</dc:creator>
  <cp:lastModifiedBy>Ousmane LO</cp:lastModifiedBy>
  <cp:revision>3</cp:revision>
  <dcterms:created xsi:type="dcterms:W3CDTF">2022-12-17T16:01:00Z</dcterms:created>
  <dcterms:modified xsi:type="dcterms:W3CDTF">2022-12-17T16:04:00Z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2022-12-17T00:00:00Z</vt:filetime>
  </property>
</Properties>
</file>