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F3A5F"/>
          <w:sz w:val="40"/>
          <w:szCs w:val="40"/>
        </w:rPr>
        <w:t xml:space="preserve">LogiStock SA – Cahier des charges</w:t>
      </w:r>
    </w:p>
    <w:p>
      <w:pPr>
        <w:spacing w:after="60"/>
      </w:pPr>
      <w:r>
        <w:rPr>
          <w:color w:val="555555"/>
          <w:sz w:val="24"/>
          <w:szCs w:val="24"/>
        </w:rPr>
        <w:t xml:space="preserve">Version 2, alignée sur la documentation officielle du projet fil rouge</w:t>
      </w:r>
    </w:p>
    <w:p>
      <w:pPr>
        <w:pBdr>
          <w:bottom w:val="single" w:color="1F3A5F" w:sz="8" w:space="4"/>
        </w:pBdr>
        <w:spacing w:after="200"/>
      </w:pPr>
      <w:r>
        <w:rPr>
          <w:color w:val="777777"/>
          <w:sz w:val="18"/>
          <w:szCs w:val="18"/>
        </w:rPr>
        <w:t xml:space="preserve">Projet fil rouge – Projets Intégrés en Informatique de Gestion · Version du 27 octobre 2026</w:t>
      </w:r>
    </w:p>
    <w:p>
      <w:pPr>
        <w:spacing w:after="120"/>
      </w:pPr>
      <w:r>
        <w:t xml:space="preserve">Ce document remplace la première version du cahier des charges. Il reprend le sujet officiel : une application de gestion intégrée simplifiée (ERP/CRM léger) centralisant utilisateurs, stocks, ventes et clients, avec un tableau de bord de pilotage pour la direction.</w:t>
      </w:r>
    </w:p>
    <w:p>
      <w:pPr>
        <w:pStyle w:val="Heading1"/>
      </w:pPr>
      <w:r>
        <w:t xml:space="preserve">1. Contexte et objectifs</w:t>
      </w:r>
    </w:p>
    <w:p>
      <w:pPr>
        <w:spacing w:after="120"/>
      </w:pPr>
      <w:r>
        <w:t xml:space="preserve">LogiStock SA distribue des fournitures pour professionnels (matériel de bureau, consommables, petit équipement). Elle travaille avec des tableurs, des cahiers papier et des e-mails, ce qui provoque des pertes de temps, des erreurs de stock et un manque de visibilité pour la direction.</w:t>
      </w:r>
    </w:p>
    <w:p>
      <w:pPr>
        <w:spacing w:after="120"/>
      </w:pPr>
      <w:r>
        <w:t xml:space="preserve">Objectif : livrer une application web fiable qui centralise la gestion des utilisateurs, des stocks, des ventes et des clients, et qui offre des indicateurs de pilotage.</w:t>
      </w:r>
    </w:p>
    <w:p>
      <w:pPr>
        <w:pStyle w:val="Heading1"/>
      </w:pPr>
      <w:r>
        <w:t xml:space="preserve">2. Besoins fonctionnels</w:t>
      </w:r>
    </w:p>
    <w:p>
      <w:pPr>
        <w:spacing w:after="120"/>
      </w:pPr>
      <w:r>
        <w:t xml:space="preserve">Les fonctions sont regroupées en quatre modules, conformément au sujet.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426"/>
        <w:gridCol w:w="1600"/>
      </w:tblGrid>
      <w:tr>
        <w:trPr>
          <w:tblHeader/>
        </w:trPr>
        <w:tc>
          <w:tcPr>
            <w:tcW w:type="dxa" w:w="7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Réf.</w:t>
            </w:r>
          </w:p>
        </w:tc>
        <w:tc>
          <w:tcPr>
            <w:tcW w:type="dxa" w:w="23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Fonction</w:t>
            </w:r>
          </w:p>
        </w:tc>
        <w:tc>
          <w:tcPr>
            <w:tcW w:type="dxa" w:w="4426"/>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Description</w:t>
            </w:r>
          </w:p>
        </w:tc>
        <w:tc>
          <w:tcPr>
            <w:tcW w:type="dxa" w:w="16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Priorité</w:t>
            </w:r>
          </w:p>
        </w:tc>
      </w:tr>
      <w:tr>
        <w:trPr>
          <w:cantSplit/>
        </w:trPr>
        <w:tc>
          <w:tcPr>
            <w:tcW w:type="dxa" w:w="9026"/>
            <w:gridSpan w:val="4"/>
            <w:tcBorders>
              <w:top w:val="single" w:color="B8C4D2" w:sz="4"/>
              <w:left w:val="single" w:color="B8C4D2" w:sz="4"/>
              <w:bottom w:val="single" w:color="B8C4D2" w:sz="4"/>
              <w:right w:val="single" w:color="B8C4D2" w:sz="4"/>
            </w:tcBorders>
            <w:shd w:fill="DCE6F2" w:val="clear"/>
            <w:tcMar>
              <w:top w:type="dxa" w:w="70"/>
              <w:left w:type="dxa" w:w="110"/>
              <w:bottom w:type="dxa" w:w="70"/>
              <w:right w:type="dxa" w:w="110"/>
            </w:tcMar>
          </w:tcPr>
          <w:p>
            <w:pPr>
              <w:keepNext/>
            </w:pPr>
            <w:r>
              <w:rPr>
                <w:b/>
                <w:bCs/>
                <w:sz w:val="19"/>
                <w:szCs w:val="19"/>
              </w:rPr>
              <w:t xml:space="preserve">Module 1 – Authentification et gestion des rôles (RBAC)</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F1</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Inscription et connexion</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Inscription et connexion sécurisées des utilisateurs ; accès à l'application refusé sans authentification valide</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F2</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Rôles et droits</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Trois rôles : Administrateur (comptes et droits), Gestionnaire de stock (produits et mouvements), Commercial (clients et ventes) ; contrôle d'accès vérifié côté serveur</w:t>
            </w:r>
          </w:p>
        </w:tc>
        <w:tc>
          <w:tcPr>
            <w:tcW w:type="dxa" w:w="1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w:t>
            </w:r>
          </w:p>
        </w:tc>
      </w:tr>
      <w:tr>
        <w:trPr>
          <w:cantSplit/>
        </w:trPr>
        <w:tc>
          <w:tcPr>
            <w:tcW w:type="dxa" w:w="9026"/>
            <w:gridSpan w:val="4"/>
            <w:tcBorders>
              <w:top w:val="single" w:color="B8C4D2" w:sz="4"/>
              <w:left w:val="single" w:color="B8C4D2" w:sz="4"/>
              <w:bottom w:val="single" w:color="B8C4D2" w:sz="4"/>
              <w:right w:val="single" w:color="B8C4D2" w:sz="4"/>
            </w:tcBorders>
            <w:shd w:fill="DCE6F2" w:val="clear"/>
            <w:tcMar>
              <w:top w:type="dxa" w:w="70"/>
              <w:left w:type="dxa" w:w="110"/>
              <w:bottom w:type="dxa" w:w="70"/>
              <w:right w:type="dxa" w:w="110"/>
            </w:tcMar>
          </w:tcPr>
          <w:p>
            <w:pPr>
              <w:keepNext/>
            </w:pPr>
            <w:r>
              <w:rPr>
                <w:b/>
                <w:bCs/>
                <w:sz w:val="19"/>
                <w:szCs w:val="19"/>
              </w:rPr>
              <w:t xml:space="preserve">Module 2 – Gestion des stocks</w:t>
            </w:r>
          </w:p>
        </w:tc>
      </w:tr>
      <w:tr>
        <w:trPr>
          <w:cantSplit/>
        </w:trPr>
        <w:tc>
          <w:tcPr>
            <w:tcW w:type="dxa" w:w="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F3</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Produits</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Créer, modifier, supprimer, rechercher un produit (référence, désignation, catégorie, prix, quantité en stock, seuil d'alerte)</w:t>
            </w:r>
          </w:p>
        </w:tc>
        <w:tc>
          <w:tcPr>
            <w:tcW w:type="dxa" w:w="1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F4</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Catégories</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Gérer les catégories de produits</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F5</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Mouvements de stock</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Enregistrer entrées et sorties avec historique complet et horodatage ; le stock ne peut jamais devenir négatif</w:t>
            </w:r>
          </w:p>
        </w:tc>
        <w:tc>
          <w:tcPr>
            <w:tcW w:type="dxa" w:w="1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F6</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Alertes de stock</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Alerte visible quand le stock d'un produit passe sous son seuil</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9026"/>
            <w:gridSpan w:val="4"/>
            <w:tcBorders>
              <w:top w:val="single" w:color="B8C4D2" w:sz="4"/>
              <w:left w:val="single" w:color="B8C4D2" w:sz="4"/>
              <w:bottom w:val="single" w:color="B8C4D2" w:sz="4"/>
              <w:right w:val="single" w:color="B8C4D2" w:sz="4"/>
            </w:tcBorders>
            <w:shd w:fill="DCE6F2" w:val="clear"/>
            <w:tcMar>
              <w:top w:type="dxa" w:w="70"/>
              <w:left w:type="dxa" w:w="110"/>
              <w:bottom w:type="dxa" w:w="70"/>
              <w:right w:type="dxa" w:w="110"/>
            </w:tcMar>
          </w:tcPr>
          <w:p>
            <w:pPr>
              <w:keepNext/>
            </w:pPr>
            <w:r>
              <w:rPr>
                <w:b/>
                <w:bCs/>
                <w:sz w:val="19"/>
                <w:szCs w:val="19"/>
              </w:rPr>
              <w:t xml:space="preserve">Module 3 – Ventes et clients (CRM)</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F7</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Fiche client</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Identité, coordonnées, historique d'achats</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F8</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Commandes</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Créer une commande associant un client et un ou plusieurs produits ; validation impossible si le stock est insuffisant ; la validation décrémente le stock</w:t>
            </w:r>
          </w:p>
        </w:tc>
        <w:tc>
          <w:tcPr>
            <w:tcW w:type="dxa" w:w="1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F9</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Facture PDF</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Générer une facture simplifiée au format PDF associée à la commande</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9026"/>
            <w:gridSpan w:val="4"/>
            <w:tcBorders>
              <w:top w:val="single" w:color="B8C4D2" w:sz="4"/>
              <w:left w:val="single" w:color="B8C4D2" w:sz="4"/>
              <w:bottom w:val="single" w:color="B8C4D2" w:sz="4"/>
              <w:right w:val="single" w:color="B8C4D2" w:sz="4"/>
            </w:tcBorders>
            <w:shd w:fill="DCE6F2" w:val="clear"/>
            <w:tcMar>
              <w:top w:type="dxa" w:w="70"/>
              <w:left w:type="dxa" w:w="110"/>
              <w:bottom w:type="dxa" w:w="70"/>
              <w:right w:type="dxa" w:w="110"/>
            </w:tcMar>
          </w:tcPr>
          <w:p>
            <w:pPr>
              <w:keepNext/>
            </w:pPr>
            <w:r>
              <w:rPr>
                <w:b/>
                <w:bCs/>
                <w:sz w:val="19"/>
                <w:szCs w:val="19"/>
              </w:rPr>
              <w:t xml:space="preserve">Module 4 – Tableau de bord KPI</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F10</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Indicateurs</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Chiffre d'affaires sur une période, palmarès des produits les plus vendus, produits en rupture ou en alerte, et au moins un indicateur supplémentaire choisi et justifié par l'équipe</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F11</w:t>
            </w:r>
          </w:p>
        </w:tc>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Graphiques</w:t>
            </w:r>
          </w:p>
        </w:tc>
        <w:tc>
          <w:tcPr>
            <w:tcW w:type="dxa" w:w="4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Représentation visuelle des indicateurs, accessible uniquement aux rôles habilités au pilotage</w:t>
            </w:r>
          </w:p>
        </w:tc>
        <w:tc>
          <w:tcPr>
            <w:tcW w:type="dxa" w:w="1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w:t>
            </w:r>
          </w:p>
        </w:tc>
      </w:tr>
      <w:tr>
        <w:trPr>
          <w:cantSplit/>
        </w:trPr>
        <w:tc>
          <w:tcPr>
            <w:tcW w:type="dxa" w:w="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F12</w:t>
            </w:r>
          </w:p>
        </w:tc>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Export CSV</w:t>
            </w:r>
          </w:p>
        </w:tc>
        <w:tc>
          <w:tcPr>
            <w:tcW w:type="dxa" w:w="4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Export des listes (produits, mouvements) en CSV</w:t>
            </w:r>
          </w:p>
        </w:tc>
        <w:tc>
          <w:tcPr>
            <w:tcW w:type="dxa" w:w="1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Souhaitable</w:t>
            </w:r>
          </w:p>
        </w:tc>
      </w:tr>
    </w:tbl>
    <w:p>
      <w:pPr>
        <w:spacing w:after="120"/>
      </w:pPr>
    </w:p>
    <w:p>
      <w:pPr>
        <w:pStyle w:val="Heading2"/>
      </w:pPr>
      <w:r>
        <w:t xml:space="preserve">Règles de gestion</w:t>
      </w:r>
    </w:p>
    <w:p>
      <w:pPr>
        <w:pStyle w:val="ListParagraph"/>
        <w:numPr>
          <w:ilvl w:val="0"/>
          <w:numId w:val="2"/>
        </w:numPr>
        <w:spacing w:after="60"/>
      </w:pPr>
      <w:r>
        <w:t xml:space="preserve">Le stock d'un produit ne peut jamais devenir négatif.</w:t>
      </w:r>
    </w:p>
    <w:p>
      <w:pPr>
        <w:pStyle w:val="ListParagraph"/>
        <w:numPr>
          <w:ilvl w:val="0"/>
          <w:numId w:val="2"/>
        </w:numPr>
        <w:spacing w:after="60"/>
      </w:pPr>
      <w:r>
        <w:t xml:space="preserve">Une vente ne peut pas être validée si le stock disponible est insuffisant.</w:t>
      </w:r>
    </w:p>
    <w:p>
      <w:pPr>
        <w:pStyle w:val="ListParagraph"/>
        <w:numPr>
          <w:ilvl w:val="0"/>
          <w:numId w:val="2"/>
        </w:numPr>
        <w:spacing w:after="60"/>
      </w:pPr>
      <w:r>
        <w:t xml:space="preserve">La validation d'une vente décrémente automatiquement le stock des produits concernés.</w:t>
      </w:r>
    </w:p>
    <w:p>
      <w:pPr>
        <w:pStyle w:val="ListParagraph"/>
        <w:numPr>
          <w:ilvl w:val="0"/>
          <w:numId w:val="2"/>
        </w:numPr>
        <w:spacing w:after="60"/>
      </w:pPr>
      <w:r>
        <w:t xml:space="preserve">Chaque mouvement de stock est horodaté et rattaché à l'utilisateur qui l'a effectué.</w:t>
      </w:r>
    </w:p>
    <w:p>
      <w:pPr>
        <w:pStyle w:val="ListParagraph"/>
        <w:numPr>
          <w:ilvl w:val="0"/>
          <w:numId w:val="2"/>
        </w:numPr>
        <w:spacing w:after="60"/>
      </w:pPr>
      <w:r>
        <w:t xml:space="preserve">Chaque fonctionnalité n'est accessible qu'aux rôles autorisés, vérifié côté serveur.</w:t>
      </w:r>
    </w:p>
    <w:p>
      <w:pPr>
        <w:pStyle w:val="Heading1"/>
      </w:pPr>
      <w:r>
        <w:t xml:space="preserve">3. Exigences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Domaine</w:t>
            </w:r>
          </w:p>
        </w:tc>
        <w:tc>
          <w:tcPr>
            <w:tcW w:type="dxa" w:w="6726"/>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Exigence</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Architecture</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Architecture en couches, frontend et backend strictement séparés, communiquant par une API REST documentée</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Authentification</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Jetons JWT ; contrôle d'accès par rôle (RBAC) appliqué au niveau de l'API</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Base de données</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Base relationnelle normalisée (MCD et MLD fournis en annexe), cohérente avec les user stories</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Pile technique</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Choix de l'équipe, justifié dans un ADR (le Java du premier cahier des charges devient un choix à valider)</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Sécurité</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Mots de passe hachés, requêtes SQL paramétrées, contrôle des droits côté serveur</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Versionnement</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Git selon GitFlow : main, develop, branches feature au minimum</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Conteneurisation</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Docker et Docker Compose : au minimum base de données, backend, frontend</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Tests</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Tests automatisés sur les règles métier critiques (par exemple refus de vente si stock insuffisant)</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Documents PDF</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Génération de la facture avec une bibliothèque adaptée à la pile choisie</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Documentation</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README d'installation autonome, documentation des endpoints de l'API</w:t>
            </w:r>
          </w:p>
        </w:tc>
      </w:tr>
      <w:tr>
        <w:trPr>
          <w:cantSplit/>
        </w:trPr>
        <w:tc>
          <w:tcPr>
            <w:tcW w:type="dxa" w:w="2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Suivi de projet</w:t>
            </w:r>
          </w:p>
        </w:tc>
        <w:tc>
          <w:tcPr>
            <w:tcW w:type="dxa" w:w="67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Trello : Backlog, Sprint, En cours, Terminé ; démarche Agile inspirée de Scrum</w:t>
            </w:r>
          </w:p>
        </w:tc>
      </w:tr>
      <w:tr>
        <w:trPr>
          <w:cantSplit/>
        </w:trPr>
        <w:tc>
          <w:tcPr>
            <w:tcW w:type="dxa" w:w="2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Performance</w:t>
            </w:r>
          </w:p>
        </w:tc>
        <w:tc>
          <w:tcPr>
            <w:tcW w:type="dxa" w:w="67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Pages principales affichées en moins de 3 secondes (objectif de l'équipe)</w:t>
            </w:r>
          </w:p>
        </w:tc>
      </w:tr>
    </w:tbl>
    <w:p>
      <w:pPr>
        <w:spacing w:after="120"/>
      </w:pPr>
    </w:p>
    <w:p>
      <w:pPr>
        <w:pStyle w:val="Heading1"/>
      </w:pPr>
      <w:r>
        <w:t xml:space="preserve">4. Organisation et contraintes</w:t>
      </w:r>
    </w:p>
    <w:p>
      <w:pPr>
        <w:pStyle w:val="ListParagraph"/>
        <w:numPr>
          <w:ilvl w:val="0"/>
          <w:numId w:val="2"/>
        </w:numPr>
        <w:spacing w:after="60"/>
      </w:pPr>
      <w:r>
        <w:t xml:space="preserve">Durée : 12 séances de 3 heures, rythmées par 3 jalons obligatoires et une soutenance finale.</w:t>
      </w:r>
    </w:p>
    <w:p>
      <w:pPr>
        <w:pStyle w:val="ListParagraph"/>
        <w:numPr>
          <w:ilvl w:val="0"/>
          <w:numId w:val="2"/>
        </w:numPr>
        <w:spacing w:after="60"/>
      </w:pPr>
      <w:r>
        <w:t xml:space="preserve">Équipe : 7 étudiants dans notre groupe, alors que le sujet prévoit 4 à 5 personnes par équipe ; point à confirmer avec l'enseignant.</w:t>
      </w:r>
    </w:p>
    <w:p>
      <w:pPr>
        <w:pStyle w:val="ListParagraph"/>
        <w:numPr>
          <w:ilvl w:val="0"/>
          <w:numId w:val="2"/>
        </w:numPr>
        <w:spacing w:after="60"/>
      </w:pPr>
      <w:r>
        <w:t xml:space="preserve">Rôles Scrum : Product Owner (Anthioumana Boiguile) et Scrum Master (Ahmad Keita), qui développent aussi.</w:t>
      </w:r>
    </w:p>
    <w:p>
      <w:pPr>
        <w:pStyle w:val="ListParagraph"/>
        <w:numPr>
          <w:ilvl w:val="0"/>
          <w:numId w:val="2"/>
        </w:numPr>
        <w:spacing w:after="60"/>
      </w:pPr>
      <w:r>
        <w:t xml:space="preserve">Une partie de l'équipe a une connexion Internet limitée : privilégier le travail hors ligne et les outils gratuits.</w:t>
      </w:r>
    </w:p>
    <w:p>
      <w:pPr>
        <w:pStyle w:val="ListParagraph"/>
        <w:numPr>
          <w:ilvl w:val="0"/>
          <w:numId w:val="2"/>
        </w:numPr>
        <w:spacing w:after="60"/>
      </w:pPr>
      <w:r>
        <w:t xml:space="preserve">Un jalon non tenu est noté sur l'avancement réel du jour ; aucun rendu a posteriori.</w:t>
      </w:r>
    </w:p>
    <w:p>
      <w:pPr>
        <w:pStyle w:val="Heading1"/>
      </w:pPr>
      <w:r>
        <w:t xml:space="preserve">5. Jalons et livrables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600"/>
        <w:gridCol w:w="2426"/>
      </w:tblGrid>
      <w:tr>
        <w:trPr>
          <w:tblHeader/>
        </w:trPr>
        <w:tc>
          <w:tcPr>
            <w:tcW w:type="dxa" w:w="17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Jalon</w:t>
            </w:r>
          </w:p>
        </w:tc>
        <w:tc>
          <w:tcPr>
            <w:tcW w:type="dxa" w:w="13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Séance</w:t>
            </w:r>
          </w:p>
        </w:tc>
        <w:tc>
          <w:tcPr>
            <w:tcW w:type="dxa" w:w="36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Contenu attendu</w:t>
            </w:r>
          </w:p>
        </w:tc>
        <w:tc>
          <w:tcPr>
            <w:tcW w:type="dxa" w:w="2426"/>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Critère</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19"/>
                <w:szCs w:val="19"/>
              </w:rPr>
              <w:t xml:space="preserve">Jalon 1</w:t>
            </w:r>
            <w:r>
              <w:rPr>
                <w:sz w:val="19"/>
                <w:szCs w:val="19"/>
              </w:rPr>
              <w:t xml:space="preserve"> Dossier de conception</w:t>
            </w:r>
          </w:p>
        </w:tc>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S04</w:t>
            </w:r>
          </w:p>
        </w:tc>
        <w:tc>
          <w:tcPr>
            <w:tcW w:type="dxa" w:w="3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Backlog produit priorisé (user stories et critères d'acceptation), diagramme de cas d'utilisation, schéma d'architecture et ADR de choix de pile, MCD et MLD</w:t>
            </w:r>
          </w:p>
        </w:tc>
        <w:tc>
          <w:tcPr>
            <w:tcW w:type="dxa" w:w="2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Dossier complet à la date du jalon</w:t>
            </w:r>
          </w:p>
        </w:tc>
      </w:tr>
      <w:tr>
        <w:trPr>
          <w:cantSplit/>
        </w:trPr>
        <w:tc>
          <w:tcPr>
            <w:tcW w:type="dxa" w:w="1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b/>
                <w:bCs/>
                <w:sz w:val="19"/>
                <w:szCs w:val="19"/>
              </w:rPr>
              <w:t xml:space="preserve">Jalon 2</w:t>
            </w:r>
            <w:r>
              <w:rPr>
                <w:sz w:val="19"/>
                <w:szCs w:val="19"/>
              </w:rPr>
              <w:t xml:space="preserve"> Alpha et revue de code</w:t>
            </w:r>
          </w:p>
        </w:tc>
        <w:tc>
          <w:tcPr>
            <w:tcW w:type="dxa" w:w="13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S08</w:t>
            </w:r>
          </w:p>
        </w:tc>
        <w:tc>
          <w:tcPr>
            <w:tcW w:type="dxa" w:w="36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Version Alpha démontrable avec au minimum Authentification/RBAC et Gestion des stocks ; rapport de revue de code (points forts, points à corriger, dette technique)</w:t>
            </w:r>
          </w:p>
        </w:tc>
        <w:tc>
          <w:tcPr>
            <w:tcW w:type="dxa" w:w="2426"/>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Démonstration de l'Alpha</w:t>
            </w:r>
          </w:p>
        </w:tc>
      </w:tr>
      <w:tr>
        <w:trPr>
          <w:cantSplit/>
        </w:trPr>
        <w:tc>
          <w:tcPr>
            <w:tcW w:type="dxa" w:w="1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b/>
                <w:bCs/>
                <w:sz w:val="19"/>
                <w:szCs w:val="19"/>
              </w:rPr>
              <w:t xml:space="preserve">Jalon 3</w:t>
            </w:r>
            <w:r>
              <w:rPr>
                <w:sz w:val="19"/>
                <w:szCs w:val="19"/>
              </w:rPr>
              <w:t xml:space="preserve"> Livrable final et déploiement</w:t>
            </w:r>
          </w:p>
        </w:tc>
        <w:tc>
          <w:tcPr>
            <w:tcW w:type="dxa" w:w="13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S11-S12</w:t>
            </w:r>
          </w:p>
        </w:tc>
        <w:tc>
          <w:tcPr>
            <w:tcW w:type="dxa" w:w="36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Application complète (4 modules) conteneurisée, lançable via un README autonome ; code source et documentation technique ; soutenance orale avec démonstration en direct</w:t>
            </w:r>
          </w:p>
        </w:tc>
        <w:tc>
          <w:tcPr>
            <w:tcW w:type="dxa" w:w="2426"/>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Soutenance réussie</w:t>
            </w:r>
          </w:p>
        </w:tc>
      </w:tr>
    </w:tbl>
    <w:p>
      <w:pPr>
        <w:spacing w:after="120"/>
      </w:pPr>
    </w:p>
    <w:p>
      <w:pPr>
        <w:spacing w:after="120"/>
      </w:pPr>
      <w:r>
        <w:t xml:space="preserve">Soutenance (S12) : 10 minutes de présentation, 10 minutes de démonstration en direct sur un jeu de données préparé, 10 minutes de questions dont des questions individuelles. Prévoir un plan de secours (captures ou vidéo).</w:t>
      </w:r>
    </w:p>
    <w:p>
      <w:pPr>
        <w:pStyle w:val="Heading1"/>
      </w:pPr>
      <w:r>
        <w:t xml:space="preserve">6. Changements par rapport à la version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tblHeader/>
        </w:trPr>
        <w:tc>
          <w:tcPr>
            <w:tcW w:type="dxa" w:w="2700"/>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Sujet</w:t>
            </w:r>
          </w:p>
        </w:tc>
        <w:tc>
          <w:tcPr>
            <w:tcW w:type="dxa" w:w="3163"/>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Version 1</w:t>
            </w:r>
          </w:p>
        </w:tc>
        <w:tc>
          <w:tcPr>
            <w:tcW w:type="dxa" w:w="3163"/>
            <w:tcBorders>
              <w:top w:val="single" w:color="B8C4D2" w:sz="4"/>
              <w:left w:val="single" w:color="B8C4D2" w:sz="4"/>
              <w:bottom w:val="single" w:color="B8C4D2" w:sz="4"/>
              <w:right w:val="single" w:color="B8C4D2" w:sz="4"/>
            </w:tcBorders>
            <w:shd w:fill="1F3A5F" w:val="clear"/>
            <w:tcMar>
              <w:top w:type="dxa" w:w="70"/>
              <w:left w:type="dxa" w:w="110"/>
              <w:bottom w:type="dxa" w:w="70"/>
              <w:right w:type="dxa" w:w="110"/>
            </w:tcMar>
          </w:tcPr>
          <w:p>
            <w:r>
              <w:rPr>
                <w:b/>
                <w:bCs/>
                <w:color w:val="FFFFFF"/>
                <w:sz w:val="19"/>
                <w:szCs w:val="19"/>
              </w:rPr>
              <w:t xml:space="preserve">Version 2</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Périmètre</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Gestion de stock seule (F1 à F8)</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4 modules : authentification, stocks, ventes et clients, KPI</w:t>
            </w:r>
          </w:p>
        </w:tc>
      </w:tr>
      <w:tr>
        <w:trPr>
          <w:cantSplit/>
        </w:trPr>
        <w:tc>
          <w:tcPr>
            <w:tcW w:type="dxa" w:w="2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Rôles</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Administrateur, Gestionnaire, Consultant</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Administrateur, Gestionnaire de stock, Commercial</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Ventes, clients, facture PDF</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Absents</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Obligatoires (module 3)</w:t>
            </w:r>
          </w:p>
        </w:tc>
      </w:tr>
      <w:tr>
        <w:trPr>
          <w:cantSplit/>
        </w:trPr>
        <w:tc>
          <w:tcPr>
            <w:tcW w:type="dxa" w:w="2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Fournisseurs</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Fonction F7 importante</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Retirés : absents du sujet officiel</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Technique</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Java, HTML/CSS/JS</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API REST, JWT, Docker, pile à justifier par un ADR</w:t>
            </w:r>
          </w:p>
        </w:tc>
      </w:tr>
      <w:tr>
        <w:trPr>
          <w:cantSplit/>
        </w:trPr>
        <w:tc>
          <w:tcPr>
            <w:tcW w:type="dxa" w:w="2700"/>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Jalons</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Cadrage, conception, application</w:t>
            </w:r>
          </w:p>
        </w:tc>
        <w:tc>
          <w:tcPr>
            <w:tcW w:type="dxa" w:w="3163"/>
            <w:tcBorders>
              <w:top w:val="single" w:color="B8C4D2" w:sz="4"/>
              <w:left w:val="single" w:color="B8C4D2" w:sz="4"/>
              <w:bottom w:val="single" w:color="B8C4D2" w:sz="4"/>
              <w:right w:val="single" w:color="B8C4D2" w:sz="4"/>
            </w:tcBorders>
            <w:shd w:fill="F2F5F9" w:val="clear"/>
            <w:tcMar>
              <w:top w:type="dxa" w:w="70"/>
              <w:left w:type="dxa" w:w="110"/>
              <w:bottom w:type="dxa" w:w="70"/>
              <w:right w:type="dxa" w:w="110"/>
            </w:tcMar>
          </w:tcPr>
          <w:p>
            <w:r>
              <w:rPr>
                <w:sz w:val="19"/>
                <w:szCs w:val="19"/>
              </w:rPr>
              <w:t xml:space="preserve">J1 S04, J2 S08, J3 S11-S12</w:t>
            </w:r>
          </w:p>
        </w:tc>
      </w:tr>
      <w:tr>
        <w:trPr>
          <w:cantSplit/>
        </w:trPr>
        <w:tc>
          <w:tcPr>
            <w:tcW w:type="dxa" w:w="2700"/>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Mouvements</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Entrée ou sortie</w:t>
            </w:r>
          </w:p>
        </w:tc>
        <w:tc>
          <w:tcPr>
            <w:tcW w:type="dxa" w:w="3163"/>
            <w:tcBorders>
              <w:top w:val="single" w:color="B8C4D2" w:sz="4"/>
              <w:left w:val="single" w:color="B8C4D2" w:sz="4"/>
              <w:bottom w:val="single" w:color="B8C4D2" w:sz="4"/>
              <w:right w:val="single" w:color="B8C4D2" w:sz="4"/>
            </w:tcBorders>
            <w:tcMar>
              <w:top w:type="dxa" w:w="70"/>
              <w:left w:type="dxa" w:w="110"/>
              <w:bottom w:type="dxa" w:w="70"/>
              <w:right w:type="dxa" w:w="110"/>
            </w:tcMar>
          </w:tcPr>
          <w:p>
            <w:r>
              <w:rPr>
                <w:sz w:val="19"/>
                <w:szCs w:val="19"/>
              </w:rPr>
              <w:t xml:space="preserve">Entrée ou sortie, sorties liées aux ventes validées</w:t>
            </w:r>
          </w:p>
        </w:tc>
      </w:tr>
    </w:tbl>
    <w:sectPr>
      <w:footerReference w:type="default" r:id="rId6"/>
      <w:pgSz w:w="11906" w:h="16838"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LogiStock SA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3A5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Équipe LogiStock SA</dc:creator>
  <cp:lastModifiedBy>Un-named</cp:lastModifiedBy>
  <cp:revision>1</cp:revision>
  <dcterms:created xsi:type="dcterms:W3CDTF">2026-10-27T19:49:20.454Z</dcterms:created>
  <dcterms:modified xsi:type="dcterms:W3CDTF">2026-10-27T19:49:20.454Z</dcterms:modified>
</cp:coreProperties>
</file>

<file path=docProps/custom.xml><?xml version="1.0" encoding="utf-8"?>
<Properties xmlns="http://schemas.openxmlformats.org/officeDocument/2006/custom-properties" xmlns:vt="http://schemas.openxmlformats.org/officeDocument/2006/docPropsVTypes"/>
</file>