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80"/>
        <w:jc w:val="center"/>
      </w:pPr>
      <w:r>
        <w:rPr>
          <w:b/>
          <w:bCs/>
          <w:sz w:val="24"/>
          <w:szCs w:val="24"/>
        </w:rPr>
        <w:t xml:space="preserve">RÉPUBLIQUE TUNISIENNE</w:t>
      </w:r>
    </w:p>
    <w:p>
      <w:pPr>
        <w:spacing w:after="600"/>
        <w:jc w:val="center"/>
      </w:pPr>
      <w:r>
        <w:rPr>
          <w:sz w:val="22"/>
          <w:szCs w:val="22"/>
        </w:rPr>
        <w:t xml:space="preserve">École des Sciences et Techniques — EABA</w:t>
      </w:r>
    </w:p>
    <w:p>
      <w:pPr>
        <w:spacing w:after="240"/>
        <w:jc w:val="center"/>
      </w:pPr>
      <w:r>
        <w:rPr>
          <w:b/>
          <w:bCs/>
          <w:sz w:val="36"/>
          <w:szCs w:val="36"/>
        </w:rPr>
        <w:t xml:space="preserve">PROJET DE FIN D’ANNÉE (PFA)</w:t>
      </w:r>
    </w:p>
    <w:p>
      <w:pPr>
        <w:spacing w:after="800"/>
        <w:jc w:val="center"/>
      </w:pPr>
      <w:r>
        <w:rPr>
          <w:i/>
          <w:iCs/>
          <w:sz w:val="24"/>
          <w:szCs w:val="24"/>
        </w:rPr>
        <w:t xml:space="preserve">Spécialité Géomatique — 2ᵉ année</w:t>
      </w:r>
    </w:p>
    <w:p>
      <w:pPr>
        <w:spacing w:after="80"/>
        <w:jc w:val="center"/>
      </w:pPr>
      <w:r>
        <w:rPr>
          <w:b/>
          <w:bCs/>
          <w:sz w:val="32"/>
          <w:szCs w:val="32"/>
        </w:rPr>
        <w:t xml:space="preserve">Développement d’un Agent IA pour la</w:t>
      </w:r>
    </w:p>
    <w:p>
      <w:pPr>
        <w:spacing w:after="120"/>
        <w:jc w:val="center"/>
      </w:pPr>
      <w:r>
        <w:rPr>
          <w:b/>
          <w:bCs/>
          <w:sz w:val="32"/>
          <w:szCs w:val="32"/>
        </w:rPr>
        <w:t xml:space="preserve">Vectorisation de Cartes dans l’Ingénierie Militaire</w:t>
      </w:r>
    </w:p>
    <w:p>
      <w:pPr>
        <w:spacing w:after="1200"/>
        <w:jc w:val="center"/>
      </w:pPr>
      <w:r>
        <w:rPr>
          <w:i/>
          <w:iCs/>
          <w:color w:val="666666"/>
          <w:sz w:val="24"/>
          <w:szCs w:val="24"/>
        </w:rPr>
        <w:t xml:space="preserve">— Document de cadrage —</w:t>
      </w:r>
    </w:p>
    <w:p>
      <w:pPr>
        <w:spacing w:after="80"/>
        <w:jc w:val="center"/>
      </w:pPr>
      <w:r>
        <w:rPr>
          <w:sz w:val="24"/>
          <w:szCs w:val="24"/>
        </w:rPr>
        <w:t xml:space="preserve">Étudiant : Oussama CHOUAIBI</w:t>
      </w:r>
    </w:p>
    <w:p>
      <w:pPr>
        <w:spacing w:after="80"/>
        <w:jc w:val="center"/>
      </w:pPr>
      <w:r>
        <w:rPr>
          <w:sz w:val="24"/>
          <w:szCs w:val="24"/>
        </w:rPr>
        <w:t xml:space="preserve">Encadrant : Kamel BENRAIS — Ingénieur Principal, ELFOULADH</w:t>
      </w:r>
    </w:p>
    <w:p>
      <w:pPr>
        <w:spacing w:after="80"/>
        <w:jc w:val="center"/>
      </w:pPr>
      <w:r>
        <w:rPr>
          <w:sz w:val="24"/>
          <w:szCs w:val="24"/>
        </w:rPr>
        <w:t xml:space="preserve">Avril 2026</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Contexte et objectifs</w:t>
      </w:r>
    </w:p>
    <w:p>
      <w:pPr>
        <w:pStyle w:val="Heading2"/>
        <w:spacing w:after="120" w:before="240"/>
      </w:pPr>
      <w:r>
        <w:t xml:space="preserve">1.1 Présentation du sujet</w:t>
      </w:r>
    </w:p>
    <w:p>
      <w:pPr>
        <w:spacing w:after="120" w:line="300"/>
      </w:pPr>
      <w:r>
        <w:t xml:space="preserve">Les forces armées et services cartographiques militaires utilisent historiquement des cartes papier ou numérisées en format raster (images). Pour exploiter ces cartes dans des Systèmes d’Information Géographique (SIG) modernes, il est nécessaire de les transformer en données vectorielles — c’est-à-dire des entités géométriques (lignes, polygones, points) associées à des attributs sémantiques (une route, un bâtiment, un cours d’eau).</w:t>
      </w:r>
    </w:p>
    <w:p>
      <w:pPr>
        <w:spacing w:after="120" w:line="300"/>
      </w:pPr>
      <w:r>
        <w:t xml:space="preserve">Ce travail de vectorisation, réalisé manuellement, est long et coûteux. L’objectif de ce PFA est de concevoir un agent intelligent capable d’automatiser cette transformation grâce à des techniques de vision par ordinateur et de deep learning.</w:t>
      </w:r>
    </w:p>
    <w:p>
      <w:pPr>
        <w:pStyle w:val="Heading2"/>
        <w:spacing w:after="120" w:before="240"/>
      </w:pPr>
      <w:r>
        <w:t xml:space="preserve">1.2 Pourquoi c’est pertinent</w:t>
      </w:r>
    </w:p>
    <w:p>
      <w:pPr>
        <w:spacing w:after="120" w:line="300"/>
      </w:pPr>
      <w:r>
        <w:t xml:space="preserve">Un tel agent apporte trois bénéfices concrets : gain de temps considérable par rapport à la vectorisation manuelle, homogénéité des résultats (moins d’erreurs humaines), et réutilisation des fonds cartographiques anciens qui ne sont disponibles qu’en version papier ou scannée. C’est un sujet à l’intersection de la géomatique (spécialité de l’étudiant) et de l’intelligence artificielle appliquée.</w:t>
      </w:r>
    </w:p>
    <w:p>
      <w:pPr>
        <w:pStyle w:val="Heading2"/>
        <w:spacing w:after="120" w:before="240"/>
      </w:pPr>
      <w:r>
        <w:t xml:space="preserve">1.3 Objectifs du PFA</w:t>
      </w:r>
    </w:p>
    <w:p>
      <w:pPr>
        <w:pStyle w:val="ListParagraph"/>
        <w:numPr>
          <w:ilvl w:val="0"/>
          <w:numId w:val="2"/>
        </w:numPr>
        <w:spacing w:after="80" w:line="280"/>
      </w:pPr>
      <w:r>
        <w:t xml:space="preserve">Concevoir et réaliser un pipeline logiciel de vectorisation automatique de cartes topographiques.</w:t>
      </w:r>
    </w:p>
    <w:p>
      <w:pPr>
        <w:pStyle w:val="ListParagraph"/>
        <w:numPr>
          <w:ilvl w:val="0"/>
          <w:numId w:val="2"/>
        </w:numPr>
        <w:spacing w:after="80" w:line="280"/>
      </w:pPr>
      <w:r>
        <w:t xml:space="preserve">Intégrer des briques open source existantes (modèles pré-entraînés, bibliothèques de traitement) plutôt que de tout redévelopper — dans l’esprit d’un vrai travail d’ingénierie.</w:t>
      </w:r>
    </w:p>
    <w:p>
      <w:pPr>
        <w:pStyle w:val="ListParagraph"/>
        <w:numPr>
          <w:ilvl w:val="0"/>
          <w:numId w:val="2"/>
        </w:numPr>
        <w:spacing w:after="80" w:line="280"/>
      </w:pPr>
      <w:r>
        <w:t xml:space="preserve">Développer une interface web Django permettant à un utilisateur de téléverser une carte, de lancer le traitement, et de télécharger les couches vectorielles résultantes (GeoJSON / Shapefile).</w:t>
      </w:r>
    </w:p>
    <w:p>
      <w:pPr>
        <w:pStyle w:val="ListParagraph"/>
        <w:numPr>
          <w:ilvl w:val="0"/>
          <w:numId w:val="2"/>
        </w:numPr>
        <w:spacing w:after="80" w:line="280"/>
      </w:pPr>
      <w:r>
        <w:t xml:space="preserve">Produire un rapport, une soutenance, et un code source documenté et reproductible.</w:t>
      </w:r>
    </w:p>
    <w:p>
      <w:r>
        <w:br w:type="page"/>
      </w:r>
    </w:p>
    <w:p>
      <w:pPr>
        <w:pStyle w:val="Heading1"/>
        <w:spacing w:after="120" w:before="240"/>
      </w:pPr>
      <w:r>
        <w:t xml:space="preserve">2. Stratégie technique</w:t>
      </w:r>
    </w:p>
    <w:p>
      <w:pPr>
        <w:pStyle w:val="Heading2"/>
        <w:spacing w:after="120" w:before="240"/>
      </w:pPr>
      <w:r>
        <w:t xml:space="preserve">2.1 Principe directeur : intégration, pas réinvention</w:t>
      </w:r>
    </w:p>
    <w:p>
      <w:pPr>
        <w:spacing w:after="120" w:line="300"/>
      </w:pPr>
      <w:r>
        <w:t xml:space="preserve">Le cœur du PFA ne doit pas être d’entraîner un nouveau réseau de neurones de zéro — cela demanderait des mois, un grand dataset annoté, et une puissance de calcul dont l’étudiant ne dispose pas. Le véritable travail d’ingénierie consiste à :</w:t>
      </w:r>
    </w:p>
    <w:p>
      <w:pPr>
        <w:pStyle w:val="ListParagraph"/>
        <w:numPr>
          <w:ilvl w:val="0"/>
          <w:numId w:val="2"/>
        </w:numPr>
        <w:spacing w:after="80" w:line="280"/>
      </w:pPr>
      <w:r>
        <w:t xml:space="preserve">identifier les briques open source pertinentes publiées par la communauté scientifique ;</w:t>
      </w:r>
    </w:p>
    <w:p>
      <w:pPr>
        <w:pStyle w:val="ListParagraph"/>
        <w:numPr>
          <w:ilvl w:val="0"/>
          <w:numId w:val="2"/>
        </w:numPr>
        <w:spacing w:after="80" w:line="280"/>
      </w:pPr>
      <w:r>
        <w:t xml:space="preserve">les assembler dans un pipeline cohérent ;</w:t>
      </w:r>
    </w:p>
    <w:p>
      <w:pPr>
        <w:pStyle w:val="ListParagraph"/>
        <w:numPr>
          <w:ilvl w:val="0"/>
          <w:numId w:val="2"/>
        </w:numPr>
        <w:spacing w:after="80" w:line="280"/>
      </w:pPr>
      <w:r>
        <w:t xml:space="preserve">les adapter au contexte des cartes militaires tunisiennes ;</w:t>
      </w:r>
    </w:p>
    <w:p>
      <w:pPr>
        <w:pStyle w:val="ListParagraph"/>
        <w:numPr>
          <w:ilvl w:val="0"/>
          <w:numId w:val="2"/>
        </w:numPr>
        <w:spacing w:after="80" w:line="280"/>
      </w:pPr>
      <w:r>
        <w:t xml:space="preserve">et les rendre exploitables via une interface utilisateur.</w:t>
      </w:r>
    </w:p>
    <w:p>
      <w:pPr>
        <w:spacing w:after="120" w:line="300"/>
      </w:pPr>
      <w:r>
        <w:t xml:space="preserve">Cette approche est à la fois réaliste compte tenu du calendrier du PFA et cohérente avec les pratiques professionnelles en ingénierie logicielle.</w:t>
      </w:r>
    </w:p>
    <w:p>
      <w:pPr>
        <w:pStyle w:val="Heading2"/>
        <w:spacing w:after="120" w:before="240"/>
      </w:pPr>
      <w:r>
        <w:t xml:space="preserve">2.2 Observation clé : les cartes sont codées par couleur</w:t>
      </w:r>
    </w:p>
    <w:p>
      <w:pPr>
        <w:spacing w:after="120" w:line="300"/>
      </w:pPr>
      <w:r>
        <w:t xml:space="preserve">Les cartes topographiques respectent une convention cartographique de codage par couleur qui permet de traiter une grande partie des éléments sans deep learning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999999" w:sz="4"/>
              <w:left w:val="single" w:color="999999" w:sz="4"/>
              <w:bottom w:val="single" w:color="999999" w:sz="4"/>
              <w:right w:val="single" w:color="999999" w:sz="4"/>
            </w:tcBorders>
            <w:shd w:fill="2E5C8A" w:val="clear"/>
            <w:tcMar>
              <w:top w:type="dxa" w:w="100"/>
              <w:left w:type="dxa" w:w="120"/>
              <w:bottom w:type="dxa" w:w="100"/>
              <w:right w:type="dxa" w:w="120"/>
            </w:tcMar>
          </w:tcPr>
          <w:p>
            <w:r>
              <w:rPr>
                <w:b/>
                <w:bCs/>
                <w:color w:val="FFFFFF"/>
                <w:sz w:val="22"/>
                <w:szCs w:val="22"/>
              </w:rPr>
              <w:t xml:space="preserve">Couleur</w:t>
            </w:r>
          </w:p>
        </w:tc>
        <w:tc>
          <w:tcPr>
            <w:tcW w:type="dxa" w:w="2500"/>
            <w:tcBorders>
              <w:top w:val="single" w:color="999999" w:sz="4"/>
              <w:left w:val="single" w:color="999999" w:sz="4"/>
              <w:bottom w:val="single" w:color="999999" w:sz="4"/>
              <w:right w:val="single" w:color="999999" w:sz="4"/>
            </w:tcBorders>
            <w:shd w:fill="2E5C8A" w:val="clear"/>
            <w:tcMar>
              <w:top w:type="dxa" w:w="100"/>
              <w:left w:type="dxa" w:w="120"/>
              <w:bottom w:type="dxa" w:w="100"/>
              <w:right w:type="dxa" w:w="120"/>
            </w:tcMar>
          </w:tcPr>
          <w:p>
            <w:r>
              <w:rPr>
                <w:b/>
                <w:bCs/>
                <w:color w:val="FFFFFF"/>
                <w:sz w:val="22"/>
                <w:szCs w:val="22"/>
              </w:rPr>
              <w:t xml:space="preserve">Élément cartographique</w:t>
            </w:r>
          </w:p>
        </w:tc>
        <w:tc>
          <w:tcPr>
            <w:tcW w:type="dxa" w:w="4526"/>
            <w:tcBorders>
              <w:top w:val="single" w:color="999999" w:sz="4"/>
              <w:left w:val="single" w:color="999999" w:sz="4"/>
              <w:bottom w:val="single" w:color="999999" w:sz="4"/>
              <w:right w:val="single" w:color="999999" w:sz="4"/>
            </w:tcBorders>
            <w:shd w:fill="2E5C8A" w:val="clear"/>
            <w:tcMar>
              <w:top w:type="dxa" w:w="100"/>
              <w:left w:type="dxa" w:w="120"/>
              <w:bottom w:type="dxa" w:w="100"/>
              <w:right w:type="dxa" w:w="120"/>
            </w:tcMar>
          </w:tcPr>
          <w:p>
            <w:r>
              <w:rPr>
                <w:b/>
                <w:bCs/>
                <w:color w:val="FFFFFF"/>
                <w:sz w:val="22"/>
                <w:szCs w:val="22"/>
              </w:rPr>
              <w:t xml:space="preserve">Méthode de traitement</w:t>
            </w:r>
          </w:p>
        </w:tc>
      </w:tr>
      <w:tr>
        <w:tc>
          <w:tcPr>
            <w:tcW w:type="dxa" w:w="2000"/>
            <w:tcBorders>
              <w:top w:val="single" w:color="999999" w:sz="4"/>
              <w:left w:val="single" w:color="999999" w:sz="4"/>
              <w:bottom w:val="single" w:color="999999" w:sz="4"/>
              <w:right w:val="single" w:color="999999" w:sz="4"/>
            </w:tcBorders>
            <w:shd w:fill="E3F2FD" w:val="clear"/>
            <w:tcMar>
              <w:top w:type="dxa" w:w="80"/>
              <w:left w:type="dxa" w:w="120"/>
              <w:bottom w:type="dxa" w:w="80"/>
              <w:right w:type="dxa" w:w="120"/>
            </w:tcMar>
          </w:tcPr>
          <w:p>
            <w:r>
              <w:rPr>
                <w:sz w:val="22"/>
                <w:szCs w:val="22"/>
              </w:rPr>
              <w:t xml:space="preserve">Bleu</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Hydrographie (rivières, lacs)</w:t>
            </w:r>
          </w:p>
        </w:tc>
        <w:tc>
          <w:tcPr>
            <w:tcW w:type="dxa" w:w="4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Seuillage HSV sur plage bleue (OpenCV) → masque binaire → vectorisation</w:t>
            </w:r>
          </w:p>
        </w:tc>
      </w:tr>
      <w:tr>
        <w:tc>
          <w:tcPr>
            <w:tcW w:type="dxa" w:w="2000"/>
            <w:tcBorders>
              <w:top w:val="single" w:color="999999" w:sz="4"/>
              <w:left w:val="single" w:color="999999" w:sz="4"/>
              <w:bottom w:val="single" w:color="999999" w:sz="4"/>
              <w:right w:val="single" w:color="999999" w:sz="4"/>
            </w:tcBorders>
            <w:shd w:fill="E8F5E9" w:val="clear"/>
            <w:tcMar>
              <w:top w:type="dxa" w:w="80"/>
              <w:left w:type="dxa" w:w="120"/>
              <w:bottom w:type="dxa" w:w="80"/>
              <w:right w:type="dxa" w:w="120"/>
            </w:tcMar>
          </w:tcPr>
          <w:p>
            <w:r>
              <w:rPr>
                <w:sz w:val="22"/>
                <w:szCs w:val="22"/>
              </w:rPr>
              <w:t xml:space="preserve">Vert</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Végétation, forêts</w:t>
            </w:r>
          </w:p>
        </w:tc>
        <w:tc>
          <w:tcPr>
            <w:tcW w:type="dxa" w:w="4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Seuillage HSV sur plage verte → polygones</w:t>
            </w:r>
          </w:p>
        </w:tc>
      </w:tr>
      <w:tr>
        <w:tc>
          <w:tcPr>
            <w:tcW w:type="dxa" w:w="2000"/>
            <w:tcBorders>
              <w:top w:val="single" w:color="999999" w:sz="4"/>
              <w:left w:val="single" w:color="999999" w:sz="4"/>
              <w:bottom w:val="single" w:color="999999" w:sz="4"/>
              <w:right w:val="single" w:color="999999" w:sz="4"/>
            </w:tcBorders>
            <w:shd w:fill="FFF3E0" w:val="clear"/>
            <w:tcMar>
              <w:top w:type="dxa" w:w="80"/>
              <w:left w:type="dxa" w:w="120"/>
              <w:bottom w:type="dxa" w:w="80"/>
              <w:right w:type="dxa" w:w="120"/>
            </w:tcMar>
          </w:tcPr>
          <w:p>
            <w:r>
              <w:rPr>
                <w:sz w:val="22"/>
                <w:szCs w:val="22"/>
              </w:rPr>
              <w:t xml:space="preserve">Marron / orange</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Courbes de niveau</w:t>
            </w:r>
          </w:p>
        </w:tc>
        <w:tc>
          <w:tcPr>
            <w:tcW w:type="dxa" w:w="4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Seuillage couleur + squelettisation (skimage) → lignes</w:t>
            </w:r>
          </w:p>
        </w:tc>
      </w:tr>
      <w:tr>
        <w:tc>
          <w:tcPr>
            <w:tcW w:type="dxa" w:w="20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tcPr>
          <w:p>
            <w:r>
              <w:rPr>
                <w:sz w:val="22"/>
                <w:szCs w:val="22"/>
              </w:rPr>
              <w:t xml:space="preserve">Noir</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Routes, bâtiments, texte</w:t>
            </w:r>
          </w:p>
        </w:tc>
        <w:tc>
          <w:tcPr>
            <w:tcW w:type="dxa" w:w="4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Réseau U-Net (deep learning) pour séparer route vs bâtiment vs texte</w:t>
            </w:r>
          </w:p>
        </w:tc>
      </w:tr>
      <w:tr>
        <w:tc>
          <w:tcPr>
            <w:tcW w:type="dxa" w:w="2000"/>
            <w:tcBorders>
              <w:top w:val="single" w:color="999999" w:sz="4"/>
              <w:left w:val="single" w:color="999999" w:sz="4"/>
              <w:bottom w:val="single" w:color="999999" w:sz="4"/>
              <w:right w:val="single" w:color="999999" w:sz="4"/>
            </w:tcBorders>
            <w:shd w:fill="FFEBEE" w:val="clear"/>
            <w:tcMar>
              <w:top w:type="dxa" w:w="80"/>
              <w:left w:type="dxa" w:w="120"/>
              <w:bottom w:type="dxa" w:w="80"/>
              <w:right w:type="dxa" w:w="120"/>
            </w:tcMar>
          </w:tcPr>
          <w:p>
            <w:r>
              <w:rPr>
                <w:sz w:val="22"/>
                <w:szCs w:val="22"/>
              </w:rPr>
              <w:t xml:space="preserve">Rouge</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Routes principales</w:t>
            </w:r>
          </w:p>
        </w:tc>
        <w:tc>
          <w:tcPr>
            <w:tcW w:type="dxa" w:w="4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Seuillage HSV → classification par géométrie</w:t>
            </w:r>
          </w:p>
        </w:tc>
      </w:tr>
    </w:tbl>
    <w:p>
      <w:pPr>
        <w:spacing w:after="120" w:line="300"/>
      </w:pPr>
      <w:r>
        <w:rPr>
          <w:i/>
          <w:iCs/>
        </w:rPr>
        <w:t xml:space="preserve">Conséquence : 60 à 70 % du pipeline peut reposer sur des techniques classiques d’OpenCV (seuillage, morphologie, squelettisation), rapides à développer et à exécuter. Le deep learning est réservé aux cas où la couleur seule ne suffit pas (typiquement : discriminer route, bâtiment et texte qui apparaissent tous en noir).</w:t>
      </w:r>
    </w:p>
    <w:p>
      <w:pPr>
        <w:pStyle w:val="Heading2"/>
        <w:spacing w:after="120" w:before="240"/>
      </w:pPr>
      <w:r>
        <w:t xml:space="preserve">2.3 Répartition vision classique vs. IA</w:t>
      </w:r>
    </w:p>
    <w:p>
      <w:pPr>
        <w:spacing w:after="120" w:line="300"/>
      </w:pPr>
      <w:r>
        <w:t xml:space="preserve">Le pipeline final combine deux familles de techniques :</w:t>
      </w:r>
    </w:p>
    <w:p>
      <w:pPr>
        <w:pStyle w:val="ListParagraph"/>
        <w:numPr>
          <w:ilvl w:val="0"/>
          <w:numId w:val="2"/>
        </w:numPr>
        <w:spacing w:after="80" w:line="280"/>
      </w:pPr>
      <w:r>
        <w:rPr>
          <w:b/>
          <w:bCs/>
        </w:rPr>
        <w:t xml:space="preserve">Vision par ordinateur classique (OpenCV, scikit-image) : </w:t>
      </w:r>
      <w:r>
        <w:t xml:space="preserve">segmentation par couleur, opérations morphologiques, squelettisation, simplification de contours. Rapide, explicable, pas d’entraînement nécessaire.</w:t>
      </w:r>
    </w:p>
    <w:p>
      <w:pPr>
        <w:pStyle w:val="ListParagraph"/>
        <w:numPr>
          <w:ilvl w:val="0"/>
          <w:numId w:val="2"/>
        </w:numPr>
        <w:spacing w:after="80" w:line="280"/>
      </w:pPr>
      <w:r>
        <w:rPr>
          <w:b/>
          <w:bCs/>
        </w:rPr>
        <w:t xml:space="preserve">Deep learning (U-Net, PyTorch) : </w:t>
      </w:r>
      <w:r>
        <w:t xml:space="preserve">segmentation sémantique pour séparer routes, bâtiments et texte. Modèles pré-entraînés récupérés et éventuellement affinés (fine-tuning) sur un petit jeu d’exemples.</w:t>
      </w:r>
    </w:p>
    <w:p>
      <w:r>
        <w:br w:type="page"/>
      </w:r>
    </w:p>
    <w:p>
      <w:pPr>
        <w:pStyle w:val="Heading1"/>
        <w:spacing w:after="120" w:before="240"/>
      </w:pPr>
      <w:r>
        <w:t xml:space="preserve">3. Architecture du pipeline</w:t>
      </w:r>
    </w:p>
    <w:p>
      <w:pPr>
        <w:pStyle w:val="Heading2"/>
        <w:spacing w:after="120" w:before="240"/>
      </w:pPr>
      <w:r>
        <w:t xml:space="preserve">3.1 Vue d’ensemble</w:t>
      </w:r>
    </w:p>
    <w:p>
      <w:pPr>
        <w:spacing w:after="120" w:line="300"/>
      </w:pPr>
      <w:r>
        <w:t xml:space="preserve">Le système est composé de trois couches : interface utilisateur (Django), moteur de traitement (pipeline Python), et stockage des données géospatiales. L’utilisateur téléverse une carte raster, choisit les couches à extraire, et récupère les résultats vectoriels.</w:t>
      </w:r>
    </w:p>
    <w:p>
      <w:pPr>
        <w:pStyle w:val="Heading2"/>
        <w:spacing w:after="120" w:before="240"/>
      </w:pPr>
      <w:r>
        <w:t xml:space="preserve">3.2 Flux de données</w:t>
      </w:r>
    </w:p>
    <w:p>
      <w:pPr>
        <w:spacing w:after="120" w:line="300"/>
      </w:pPr>
      <w:r>
        <w:t xml:space="preserve">Le flux se décompose en sept étapes successives :</w:t>
      </w:r>
    </w:p>
    <w:p>
      <w:pPr>
        <w:spacing w:after="120" w:line="300"/>
      </w:pPr>
      <w:r>
        <w:t xml:space="preserve">1. Téléversement de l’image raster par l’utilisateur via Django.</w:t>
      </w:r>
    </w:p>
    <w:p>
      <w:pPr>
        <w:spacing w:after="120" w:line="300"/>
      </w:pPr>
      <w:r>
        <w:t xml:space="preserve">2. Prétraitement : débruitage, correction de contraste, conversion HSV, normalisation des couleurs (OpenCV).</w:t>
      </w:r>
    </w:p>
    <w:p>
      <w:pPr>
        <w:spacing w:after="120" w:line="300"/>
      </w:pPr>
      <w:r>
        <w:t xml:space="preserve">3. Segmentation par couleur : extraction des masques pour hydrographie, végétation, courbes de niveau, routes principales.</w:t>
      </w:r>
    </w:p>
    <w:p>
      <w:pPr>
        <w:spacing w:after="120" w:line="300"/>
      </w:pPr>
      <w:r>
        <w:t xml:space="preserve">4. Segmentation sémantique par IA : un modèle U-Net extrait les routes et bâtiments à partir des pixels noirs.</w:t>
      </w:r>
    </w:p>
    <w:p>
      <w:pPr>
        <w:spacing w:after="120" w:line="300"/>
      </w:pPr>
      <w:r>
        <w:t xml:space="preserve">5. Géoréférencement : attachement de coordonnées GPS aux pixels à partir de points de contrôle saisis par l’utilisateur (GDAL).</w:t>
      </w:r>
    </w:p>
    <w:p>
      <w:pPr>
        <w:spacing w:after="120" w:line="300"/>
      </w:pPr>
      <w:r>
        <w:t xml:space="preserve">6. Vectorisation : conversion des masques raster en géométries vectorielles (Shapely, rasterio.features.shapes).</w:t>
      </w:r>
    </w:p>
    <w:p>
      <w:pPr>
        <w:spacing w:after="120" w:line="300"/>
      </w:pPr>
      <w:r>
        <w:t xml:space="preserve">7. Export et visualisation : génération des fichiers GeoJSON et Shapefile, affichage dans une carte Leaflet intégrée à Django.</w:t>
      </w:r>
    </w:p>
    <w:p>
      <w:pPr>
        <w:pStyle w:val="Heading2"/>
        <w:spacing w:after="120" w:before="240"/>
      </w:pPr>
      <w:r>
        <w:t xml:space="preserve">3.3 Diagramme logique</w:t>
      </w:r>
    </w:p>
    <w:p>
      <w:pPr>
        <w:spacing w:after="120" w:line="300"/>
      </w:pPr>
      <w:r>
        <w:rPr>
          <w:rFonts w:ascii="Consolas" w:cs="Consolas" w:eastAsia="Consolas" w:hAnsi="Consolas"/>
          <w:sz w:val="20"/>
          <w:szCs w:val="20"/>
        </w:rPr>
        <w:t xml:space="preserve">[ Carte raster ] → [ Prétraitement OpenCV ] → [ Segmentation couleur ]</w:t>
      </w:r>
    </w:p>
    <w:p>
      <w:pPr>
        <w:spacing w:after="120" w:line="300"/>
      </w:pPr>
      <w:r>
        <w:rPr>
          <w:rFonts w:ascii="Consolas" w:cs="Consolas" w:eastAsia="Consolas" w:hAnsi="Consolas"/>
          <w:sz w:val="20"/>
          <w:szCs w:val="20"/>
        </w:rPr>
        <w:t xml:space="preserve">                                                    ↘</w:t>
      </w:r>
    </w:p>
    <w:p>
      <w:pPr>
        <w:spacing w:after="120" w:line="300"/>
      </w:pPr>
      <w:r>
        <w:rPr>
          <w:rFonts w:ascii="Consolas" w:cs="Consolas" w:eastAsia="Consolas" w:hAnsi="Consolas"/>
          <w:sz w:val="20"/>
          <w:szCs w:val="20"/>
        </w:rPr>
        <w:t xml:space="preserve">                                                     [ Fusion des masques ] → [ Géoréférencement GDAL ]</w:t>
      </w:r>
    </w:p>
    <w:p>
      <w:pPr>
        <w:spacing w:after="120" w:line="300"/>
      </w:pPr>
      <w:r>
        <w:rPr>
          <w:rFonts w:ascii="Consolas" w:cs="Consolas" w:eastAsia="Consolas" w:hAnsi="Consolas"/>
          <w:sz w:val="20"/>
          <w:szCs w:val="20"/>
        </w:rPr>
        <w:t xml:space="preserve">                                                    ↗                                        ↓</w:t>
      </w:r>
    </w:p>
    <w:p>
      <w:pPr>
        <w:spacing w:after="120" w:line="300"/>
      </w:pPr>
      <w:r>
        <w:rPr>
          <w:rFonts w:ascii="Consolas" w:cs="Consolas" w:eastAsia="Consolas" w:hAnsi="Consolas"/>
          <w:sz w:val="20"/>
          <w:szCs w:val="20"/>
        </w:rPr>
        <w:t xml:space="preserve">[ Carte raster ] → [ Segmentation U-Net ]                                     [ Vectorisation Shapely ]</w:t>
      </w:r>
    </w:p>
    <w:p>
      <w:pPr>
        <w:spacing w:after="120" w:line="300"/>
      </w:pPr>
      <w:r>
        <w:rPr>
          <w:rFonts w:ascii="Consolas" w:cs="Consolas" w:eastAsia="Consolas" w:hAnsi="Consolas"/>
          <w:sz w:val="20"/>
          <w:szCs w:val="20"/>
        </w:rPr>
        <w:t xml:space="preserve">                                                                                             ↓</w:t>
      </w:r>
    </w:p>
    <w:p>
      <w:pPr>
        <w:spacing w:after="120" w:line="300"/>
      </w:pPr>
      <w:r>
        <w:rPr>
          <w:rFonts w:ascii="Consolas" w:cs="Consolas" w:eastAsia="Consolas" w:hAnsi="Consolas"/>
          <w:sz w:val="20"/>
          <w:szCs w:val="20"/>
        </w:rPr>
        <w:t xml:space="preserve">                                                                           [ Export GeoJSON / Shapefile ] → [ Django + Leaflet ]</w:t>
      </w:r>
    </w:p>
    <w:p>
      <w:r>
        <w:br w:type="page"/>
      </w:r>
    </w:p>
    <w:p>
      <w:pPr>
        <w:pStyle w:val="Heading1"/>
        <w:spacing w:after="120" w:before="240"/>
      </w:pPr>
      <w:r>
        <w:t xml:space="preserve">4. Stack technologique et briques open source</w:t>
      </w:r>
    </w:p>
    <w:p>
      <w:pPr>
        <w:spacing w:after="120" w:line="300"/>
      </w:pPr>
      <w:r>
        <w:t xml:space="preserve">Le tableau suivant liste les composants retenus. Chaque ligne indique un besoin, la bibliothèque ou le dépôt GitHub choisi, et son rôle dans le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999999" w:sz="4"/>
              <w:left w:val="single" w:color="999999" w:sz="4"/>
              <w:bottom w:val="single" w:color="999999" w:sz="4"/>
              <w:right w:val="single" w:color="999999" w:sz="4"/>
            </w:tcBorders>
            <w:shd w:fill="2E5C8A" w:val="clear"/>
            <w:tcMar>
              <w:top w:type="dxa" w:w="100"/>
              <w:left w:type="dxa" w:w="120"/>
              <w:bottom w:type="dxa" w:w="100"/>
              <w:right w:type="dxa" w:w="120"/>
            </w:tcMar>
          </w:tcPr>
          <w:p>
            <w:r>
              <w:rPr>
                <w:b/>
                <w:bCs/>
                <w:color w:val="FFFFFF"/>
                <w:sz w:val="22"/>
                <w:szCs w:val="22"/>
              </w:rPr>
              <w:t xml:space="preserve">Besoin</w:t>
            </w:r>
          </w:p>
        </w:tc>
        <w:tc>
          <w:tcPr>
            <w:tcW w:type="dxa" w:w="3600"/>
            <w:tcBorders>
              <w:top w:val="single" w:color="999999" w:sz="4"/>
              <w:left w:val="single" w:color="999999" w:sz="4"/>
              <w:bottom w:val="single" w:color="999999" w:sz="4"/>
              <w:right w:val="single" w:color="999999" w:sz="4"/>
            </w:tcBorders>
            <w:shd w:fill="2E5C8A" w:val="clear"/>
            <w:tcMar>
              <w:top w:type="dxa" w:w="100"/>
              <w:left w:type="dxa" w:w="120"/>
              <w:bottom w:type="dxa" w:w="100"/>
              <w:right w:type="dxa" w:w="120"/>
            </w:tcMar>
          </w:tcPr>
          <w:p>
            <w:r>
              <w:rPr>
                <w:b/>
                <w:bCs/>
                <w:color w:val="FFFFFF"/>
                <w:sz w:val="22"/>
                <w:szCs w:val="22"/>
              </w:rPr>
              <w:t xml:space="preserve">Brique retenue</w:t>
            </w:r>
          </w:p>
        </w:tc>
        <w:tc>
          <w:tcPr>
            <w:tcW w:type="dxa" w:w="3226"/>
            <w:tcBorders>
              <w:top w:val="single" w:color="999999" w:sz="4"/>
              <w:left w:val="single" w:color="999999" w:sz="4"/>
              <w:bottom w:val="single" w:color="999999" w:sz="4"/>
              <w:right w:val="single" w:color="999999" w:sz="4"/>
            </w:tcBorders>
            <w:shd w:fill="2E5C8A" w:val="clear"/>
            <w:tcMar>
              <w:top w:type="dxa" w:w="100"/>
              <w:left w:type="dxa" w:w="120"/>
              <w:bottom w:type="dxa" w:w="100"/>
              <w:right w:type="dxa" w:w="120"/>
            </w:tcMar>
          </w:tcPr>
          <w:p>
            <w:r>
              <w:rPr>
                <w:b/>
                <w:bCs/>
                <w:color w:val="FFFFFF"/>
                <w:sz w:val="22"/>
                <w:szCs w:val="22"/>
              </w:rPr>
              <w:t xml:space="preserve">Rôle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Langage</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Python 3.10+</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Écosystème scientifique complet</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Vision classique</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OpenCV, scikit-image, NumPy</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Segmentation couleur, morphologie, squelettisation</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Vectorisation cartes (cœur)</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hyperlink w:history="1" r:id="rIdiazmdttmpdz2xbwokpvbg">
              <w:r>
                <w:rPr>
                  <w:rStyle w:val="Hyperlink"/>
                </w:rPr>
                <w:t xml:space="preserve">soduco/Benchmark_historical_map_vectorization</w:t>
              </w:r>
            </w:hyperlink>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Pipeline U-Net + HED + watershed + raster-to-vector publié par EPITA/IGN (PLOS ONE 2024)</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Détection de routes</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hyperlink w:history="1" r:id="rIddtdd7smi8ik-3lstbre8i">
              <w:r>
                <w:rPr>
                  <w:rStyle w:val="Hyperlink"/>
                </w:rPr>
                <w:t xml:space="preserve">farhad-dalirani/Satellite-Imagery-Road-Segmentation</w:t>
              </w:r>
            </w:hyperlink>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U-Net avec encodeur ResNet-50 pré-entraîné, prêt à l’inférence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Framework de segmentation</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hyperlink w:history="1" r:id="rIdnyt28am00xzic_8krvjmk">
              <w:r>
                <w:rPr>
                  <w:rStyle w:val="Hyperlink"/>
                </w:rPr>
                <w:t xml:space="preserve">qubvel/segmentation_models.pytorch</w:t>
              </w:r>
            </w:hyperlink>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Fine-tuning facile, 100+ encodeurs pré-entraînés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Framework imagerie</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hyperlink w:history="1" r:id="rId5aeibamh1x4ddwey_5mzf">
              <w:r>
                <w:rPr>
                  <w:rStyle w:val="Hyperlink"/>
                </w:rPr>
                <w:t xml:space="preserve">azavea/raster-vision</w:t>
              </w:r>
            </w:hyperlink>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Optionnel : framework complet pour deep learning sur imagerie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Raster → vecteur</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rasterio.features.shapes + Shapely</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Conversion masque binaire → polygones / lignes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Géoréférencement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GDAL / rasterio</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Attachement de coordonnées GPS via points de contrôle (GCP)</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Manipulation vecteur</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GeoPandas</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Lecture / écriture Shapefile, GeoJSON ; opérations spatiales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Framework web</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Django 5.x + GeoDjango</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Backend + ORM spatial + admin</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Carto dans Django</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hyperlink w:history="1" r:id="rIdhhxoxrailoudu6sykcolu">
              <w:r>
                <w:rPr>
                  <w:rStyle w:val="Hyperlink"/>
                </w:rPr>
                <w:t xml:space="preserve">makinacorpus/django-leaflet</w:t>
              </w:r>
            </w:hyperlink>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Widget Leaflet intégré à Django</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Sérialisation GeoJSON</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hyperlink w:history="1" r:id="rIdmlqzyneir8ig1hpsyuuhg">
              <w:r>
                <w:rPr>
                  <w:rStyle w:val="Hyperlink"/>
                </w:rPr>
                <w:t xml:space="preserve">makinacorpus/django-geojson</w:t>
              </w:r>
            </w:hyperlink>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Export propre des géométries vers Leaflet</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Base de données</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PostgreSQL + PostGIS</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Stockage des données spatiales (V1 : SQLite + SpatiaLite possible)</w:t>
            </w:r>
          </w:p>
        </w:tc>
      </w:tr>
    </w:tbl>
    <w:p>
      <w:r>
        <w:br w:type="page"/>
      </w:r>
    </w:p>
    <w:p>
      <w:pPr>
        <w:pStyle w:val="Heading1"/>
        <w:spacing w:after="120" w:before="240"/>
      </w:pPr>
      <w:r>
        <w:t xml:space="preserve">5. Roadmap et planning</w:t>
      </w:r>
    </w:p>
    <w:p>
      <w:pPr>
        <w:spacing w:after="120" w:line="300"/>
      </w:pPr>
      <w:r>
        <w:t xml:space="preserve">Le planning est organisé en six phases courtes, de durée cumulée comprise entre 10 et 14 semaines. Chaque phase produit un livrable tangible, ce qui permet à l’encadrant de suivre l’avancement sans attendre la fin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4000"/>
        <w:gridCol w:w="2526"/>
      </w:tblGrid>
      <w:tr>
        <w:trPr>
          <w:tblHeader/>
        </w:trPr>
        <w:tc>
          <w:tcPr>
            <w:tcW w:type="dxa" w:w="800"/>
            <w:tcBorders>
              <w:top w:val="single" w:color="999999" w:sz="4"/>
              <w:left w:val="single" w:color="999999" w:sz="4"/>
              <w:bottom w:val="single" w:color="999999" w:sz="4"/>
              <w:right w:val="single" w:color="999999" w:sz="4"/>
            </w:tcBorders>
            <w:shd w:fill="2E5C8A" w:val="clear"/>
            <w:tcMar>
              <w:top w:type="dxa" w:w="100"/>
              <w:left w:type="dxa" w:w="120"/>
              <w:bottom w:type="dxa" w:w="100"/>
              <w:right w:type="dxa" w:w="120"/>
            </w:tcMar>
          </w:tcPr>
          <w:p>
            <w:r>
              <w:rPr>
                <w:b/>
                <w:bCs/>
                <w:color w:val="FFFFFF"/>
                <w:sz w:val="22"/>
                <w:szCs w:val="22"/>
              </w:rPr>
              <w:t xml:space="preserve">Phase</w:t>
            </w:r>
          </w:p>
        </w:tc>
        <w:tc>
          <w:tcPr>
            <w:tcW w:type="dxa" w:w="1700"/>
            <w:tcBorders>
              <w:top w:val="single" w:color="999999" w:sz="4"/>
              <w:left w:val="single" w:color="999999" w:sz="4"/>
              <w:bottom w:val="single" w:color="999999" w:sz="4"/>
              <w:right w:val="single" w:color="999999" w:sz="4"/>
            </w:tcBorders>
            <w:shd w:fill="2E5C8A" w:val="clear"/>
            <w:tcMar>
              <w:top w:type="dxa" w:w="100"/>
              <w:left w:type="dxa" w:w="120"/>
              <w:bottom w:type="dxa" w:w="100"/>
              <w:right w:type="dxa" w:w="120"/>
            </w:tcMar>
          </w:tcPr>
          <w:p>
            <w:r>
              <w:rPr>
                <w:b/>
                <w:bCs/>
                <w:color w:val="FFFFFF"/>
                <w:sz w:val="22"/>
                <w:szCs w:val="22"/>
              </w:rPr>
              <w:t xml:space="preserve">Durée</w:t>
            </w:r>
          </w:p>
        </w:tc>
        <w:tc>
          <w:tcPr>
            <w:tcW w:type="dxa" w:w="4000"/>
            <w:tcBorders>
              <w:top w:val="single" w:color="999999" w:sz="4"/>
              <w:left w:val="single" w:color="999999" w:sz="4"/>
              <w:bottom w:val="single" w:color="999999" w:sz="4"/>
              <w:right w:val="single" w:color="999999" w:sz="4"/>
            </w:tcBorders>
            <w:shd w:fill="2E5C8A" w:val="clear"/>
            <w:tcMar>
              <w:top w:type="dxa" w:w="100"/>
              <w:left w:type="dxa" w:w="120"/>
              <w:bottom w:type="dxa" w:w="100"/>
              <w:right w:type="dxa" w:w="120"/>
            </w:tcMar>
          </w:tcPr>
          <w:p>
            <w:r>
              <w:rPr>
                <w:b/>
                <w:bCs/>
                <w:color w:val="FFFFFF"/>
                <w:sz w:val="22"/>
                <w:szCs w:val="22"/>
              </w:rPr>
              <w:t xml:space="preserve">Tâches</w:t>
            </w:r>
          </w:p>
        </w:tc>
        <w:tc>
          <w:tcPr>
            <w:tcW w:type="dxa" w:w="2526"/>
            <w:tcBorders>
              <w:top w:val="single" w:color="999999" w:sz="4"/>
              <w:left w:val="single" w:color="999999" w:sz="4"/>
              <w:bottom w:val="single" w:color="999999" w:sz="4"/>
              <w:right w:val="single" w:color="999999" w:sz="4"/>
            </w:tcBorders>
            <w:shd w:fill="2E5C8A" w:val="clear"/>
            <w:tcMar>
              <w:top w:type="dxa" w:w="100"/>
              <w:left w:type="dxa" w:w="120"/>
              <w:bottom w:type="dxa" w:w="100"/>
              <w:right w:type="dxa" w:w="120"/>
            </w:tcMar>
          </w:tcPr>
          <w:p>
            <w:r>
              <w:rPr>
                <w:b/>
                <w:bCs/>
                <w:color w:val="FFFFFF"/>
                <w:sz w:val="22"/>
                <w:szCs w:val="22"/>
              </w:rPr>
              <w:t xml:space="preserve">Livrable</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P1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S1 — S2</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Mise en place de l’environnement (Python, PyTorch, OpenCV, Django). Clonage des repos sélectionnés. Recherche d’un jeu de cartes de test. Prise en main des exemples de chaque bibliothèque.</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Environnement fonctionnel + carte de test + notebook de prise en main</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P2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S3 — S4</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Module de segmentation par couleur (OpenCV) : hydrographie, végétation, courbes de niveau, routes rouges. Tests et sauvegarde des masques binaires.</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Script autonome qui extrait 4 couches couleur d’une carte</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P3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S5 — S6</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Module de segmentation sémantique via U-Net pré-entraîné (soduco ou farhad-dalirani). Extraction des routes et bâtiments. Fine-tuning léger si besoin.</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Script qui extrait routes + bâtiments via deep learning</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P4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S7 — S8</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Vectorisation (rasterio.features.shapes, Shapely) des masques. Géoréférencement via GCP (GDAL). Export GeoJSON / Shapefile. Validation sous QGIS.</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GeoJSON + Shapefile exploitables dans un SIG</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P5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S9 — S10</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Interface Django : page d’upload, orchestration du pipeline, page de résultats avec carte Leaflet, export des fichiers.</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Application web fonctionnelle de bout en bout</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P6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S11 — S12</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Rédaction du rapport de PFA. Préparation des slides de soutenance. Tests finaux et corrections.</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Rapport + slides + démo vidéo</w:t>
            </w:r>
          </w:p>
        </w:tc>
      </w:tr>
    </w:tbl>
    <w:p>
      <w:pPr>
        <w:spacing w:after="120" w:line="300"/>
      </w:pPr>
      <w:r>
        <w:t xml:space="preserve"> </w:t>
      </w:r>
    </w:p>
    <w:p>
      <w:pPr>
        <w:spacing w:after="120" w:line="300"/>
      </w:pPr>
      <w:r>
        <w:rPr>
          <w:i/>
          <w:iCs/>
        </w:rPr>
        <w:t xml:space="preserve">Si le délai se réduit : les phases P2 et P3 peuvent être menées en parallèle, et la phase P5 peut démarrer une fois P4 entamée. La rédaction (P6) doit être amorcée dès P4 pour éviter l’effet tunnel.</w:t>
      </w:r>
    </w:p>
    <w:p>
      <w:r>
        <w:br w:type="page"/>
      </w:r>
    </w:p>
    <w:p>
      <w:pPr>
        <w:pStyle w:val="Heading1"/>
        <w:spacing w:after="120" w:before="240"/>
      </w:pPr>
      <w:r>
        <w:t xml:space="preserve">6. Risques et plan B</w:t>
      </w:r>
    </w:p>
    <w:p>
      <w:pPr>
        <w:spacing w:after="120" w:line="300"/>
      </w:pPr>
      <w:r>
        <w:t xml:space="preserve">Trois risques principaux sont identifiés. Pour chacun, une stratégie de repli permet de continuer à avancer.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rPr>
          <w:tblHeader/>
        </w:trPr>
        <w:tc>
          <w:tcPr>
            <w:tcW w:type="dxa" w:w="2800"/>
            <w:tcBorders>
              <w:top w:val="single" w:color="999999" w:sz="4"/>
              <w:left w:val="single" w:color="999999" w:sz="4"/>
              <w:bottom w:val="single" w:color="999999" w:sz="4"/>
              <w:right w:val="single" w:color="999999" w:sz="4"/>
            </w:tcBorders>
            <w:shd w:fill="2E5C8A" w:val="clear"/>
            <w:tcMar>
              <w:top w:type="dxa" w:w="100"/>
              <w:left w:type="dxa" w:w="120"/>
              <w:bottom w:type="dxa" w:w="100"/>
              <w:right w:type="dxa" w:w="120"/>
            </w:tcMar>
          </w:tcPr>
          <w:p>
            <w:r>
              <w:rPr>
                <w:b/>
                <w:bCs/>
                <w:color w:val="FFFFFF"/>
                <w:sz w:val="22"/>
                <w:szCs w:val="22"/>
              </w:rPr>
              <w:t xml:space="preserve">Risque</w:t>
            </w:r>
          </w:p>
        </w:tc>
        <w:tc>
          <w:tcPr>
            <w:tcW w:type="dxa" w:w="3100"/>
            <w:tcBorders>
              <w:top w:val="single" w:color="999999" w:sz="4"/>
              <w:left w:val="single" w:color="999999" w:sz="4"/>
              <w:bottom w:val="single" w:color="999999" w:sz="4"/>
              <w:right w:val="single" w:color="999999" w:sz="4"/>
            </w:tcBorders>
            <w:shd w:fill="2E5C8A" w:val="clear"/>
            <w:tcMar>
              <w:top w:type="dxa" w:w="100"/>
              <w:left w:type="dxa" w:w="120"/>
              <w:bottom w:type="dxa" w:w="100"/>
              <w:right w:type="dxa" w:w="120"/>
            </w:tcMar>
          </w:tcPr>
          <w:p>
            <w:r>
              <w:rPr>
                <w:b/>
                <w:bCs/>
                <w:color w:val="FFFFFF"/>
                <w:sz w:val="22"/>
                <w:szCs w:val="22"/>
              </w:rPr>
              <w:t xml:space="preserve">Impact</w:t>
            </w:r>
          </w:p>
        </w:tc>
        <w:tc>
          <w:tcPr>
            <w:tcW w:type="dxa" w:w="3126"/>
            <w:tcBorders>
              <w:top w:val="single" w:color="999999" w:sz="4"/>
              <w:left w:val="single" w:color="999999" w:sz="4"/>
              <w:bottom w:val="single" w:color="999999" w:sz="4"/>
              <w:right w:val="single" w:color="999999" w:sz="4"/>
            </w:tcBorders>
            <w:shd w:fill="2E5C8A" w:val="clear"/>
            <w:tcMar>
              <w:top w:type="dxa" w:w="100"/>
              <w:left w:type="dxa" w:w="120"/>
              <w:bottom w:type="dxa" w:w="100"/>
              <w:right w:type="dxa" w:w="120"/>
            </w:tcMar>
          </w:tcPr>
          <w:p>
            <w:r>
              <w:rPr>
                <w:b/>
                <w:bCs/>
                <w:color w:val="FFFFFF"/>
                <w:sz w:val="22"/>
                <w:szCs w:val="22"/>
              </w:rPr>
              <w:t xml:space="preserve">Plan B</w:t>
            </w:r>
          </w:p>
        </w:tc>
      </w:tr>
      <w:tr>
        <w:tc>
          <w:tcPr>
            <w:tcW w:type="dxa" w:w="2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Pas de dataset de cartes militaires tunisiennes</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Impossible d’évaluer sur le cas d’usage cible</w:t>
            </w:r>
          </w:p>
        </w:tc>
        <w:tc>
          <w:tcPr>
            <w:tcW w:type="dxa" w:w="31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Utiliser cartes IGN France, USGS, ou OpenStreetMap rendues en style militaire</w:t>
            </w:r>
          </w:p>
        </w:tc>
      </w:tr>
      <w:tr>
        <w:tc>
          <w:tcPr>
            <w:tcW w:type="dxa" w:w="2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Qualité insuffisante du U-Net pré-entraîné sur cartes</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Les routes/bâtiments sont mal détectés</w:t>
            </w:r>
          </w:p>
        </w:tc>
        <w:tc>
          <w:tcPr>
            <w:tcW w:type="dxa" w:w="31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Restreindre le périmètre au cas colorimétrique et présenter le U-Net comme perspective d’amélioration</w:t>
            </w:r>
          </w:p>
        </w:tc>
      </w:tr>
      <w:tr>
        <w:tc>
          <w:tcPr>
            <w:tcW w:type="dxa" w:w="280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r>
              <w:rPr>
                <w:sz w:val="22"/>
                <w:szCs w:val="22"/>
              </w:rPr>
              <w:t xml:space="preserve">Temps insuffisant pour Django complet</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Pas de démo web à la soutenance</w:t>
            </w:r>
          </w:p>
        </w:tc>
        <w:tc>
          <w:tcPr>
            <w:tcW w:type="dxa" w:w="31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2"/>
                <w:szCs w:val="22"/>
              </w:rPr>
              <w:t xml:space="preserve">Se rabattre sur un notebook Jupyter + CLI Python ; l’interface devient une perspective</w:t>
            </w:r>
          </w:p>
        </w:tc>
      </w:tr>
    </w:tbl>
    <w:p>
      <w:r>
        <w:br w:type="page"/>
      </w:r>
    </w:p>
    <w:p>
      <w:pPr>
        <w:pStyle w:val="Heading1"/>
        <w:spacing w:after="120" w:before="240"/>
      </w:pPr>
      <w:r>
        <w:t xml:space="preserve">7. Ressources d’apprentissage ciblées</w:t>
      </w:r>
    </w:p>
    <w:p>
      <w:pPr>
        <w:spacing w:after="120" w:line="300"/>
      </w:pPr>
      <w:r>
        <w:t xml:space="preserve">Compte tenu du niveau débutant en IA, voici les ressources minimales à parcourir avant et pendant le projet. L’objectif n’est pas de devenir expert mais d’être capable d’assembler les briques existantes.</w:t>
      </w:r>
    </w:p>
    <w:p>
      <w:pPr>
        <w:pStyle w:val="Heading2"/>
        <w:spacing w:after="120" w:before="240"/>
      </w:pPr>
      <w:r>
        <w:t xml:space="preserve">7.1 Python scientifique et OpenCV</w:t>
      </w:r>
    </w:p>
    <w:p>
      <w:pPr>
        <w:pStyle w:val="ListParagraph"/>
        <w:numPr>
          <w:ilvl w:val="0"/>
          <w:numId w:val="2"/>
        </w:numPr>
        <w:spacing w:after="80" w:line="280"/>
      </w:pPr>
      <w:r>
        <w:t xml:space="preserve">Documentation officielle OpenCV Python — </w:t>
      </w:r>
      <w:hyperlink w:history="1" r:id="rIdvywmho8kqg42mtc_knmi-">
        <w:r>
          <w:rPr>
            <w:rStyle w:val="Hyperlink"/>
          </w:rPr>
          <w:t xml:space="preserve">docs.opencv.org</w:t>
        </w:r>
      </w:hyperlink>
      <w:r>
        <w:t xml:space="preserve"> (seuillage, morphologie, contours, espace HSV).</w:t>
      </w:r>
    </w:p>
    <w:p>
      <w:pPr>
        <w:pStyle w:val="ListParagraph"/>
        <w:numPr>
          <w:ilvl w:val="0"/>
          <w:numId w:val="2"/>
        </w:numPr>
        <w:spacing w:after="80" w:line="280"/>
      </w:pPr>
      <w:r>
        <w:t xml:space="preserve">Tutoriel « Image segmentation with watershed algorithm » d’OpenCV.</w:t>
      </w:r>
    </w:p>
    <w:p>
      <w:pPr>
        <w:pStyle w:val="ListParagraph"/>
        <w:numPr>
          <w:ilvl w:val="0"/>
          <w:numId w:val="2"/>
        </w:numPr>
        <w:spacing w:after="80" w:line="280"/>
      </w:pPr>
      <w:r>
        <w:t xml:space="preserve">scikit-image : module morphology (fonction skeletonize pour la squelettisation).</w:t>
      </w:r>
    </w:p>
    <w:p>
      <w:pPr>
        <w:pStyle w:val="Heading2"/>
        <w:spacing w:after="120" w:before="240"/>
      </w:pPr>
      <w:r>
        <w:t xml:space="preserve">7.2 Deep learning appliqué (strict minimum)</w:t>
      </w:r>
    </w:p>
    <w:p>
      <w:pPr>
        <w:pStyle w:val="ListParagraph"/>
        <w:numPr>
          <w:ilvl w:val="0"/>
          <w:numId w:val="2"/>
        </w:numPr>
        <w:spacing w:after="80" w:line="280"/>
      </w:pPr>
      <w:r>
        <w:t xml:space="preserve">PyTorch — tutoriel officiel « 60 minutes blitz » puis « Transfer learning tutorial ».</w:t>
      </w:r>
    </w:p>
    <w:p>
      <w:pPr>
        <w:pStyle w:val="ListParagraph"/>
        <w:numPr>
          <w:ilvl w:val="0"/>
          <w:numId w:val="2"/>
        </w:numPr>
        <w:spacing w:after="80" w:line="280"/>
      </w:pPr>
      <w:r>
        <w:t xml:space="preserve">Documentation de segmentation_models.pytorch : </w:t>
      </w:r>
      <w:hyperlink w:history="1" r:id="rIdsodhnjcuw-ij3oi8imfct">
        <w:r>
          <w:rPr>
            <w:rStyle w:val="Hyperlink"/>
          </w:rPr>
          <w:t xml:space="preserve">github.com/qubvel/segmentation_models.pytorch</w:t>
        </w:r>
      </w:hyperlink>
      <w:r>
        <w:t xml:space="preserve"> (exemples d’inférence et de fine-tuning).</w:t>
      </w:r>
    </w:p>
    <w:p>
      <w:pPr>
        <w:pStyle w:val="ListParagraph"/>
        <w:numPr>
          <w:ilvl w:val="0"/>
          <w:numId w:val="2"/>
        </w:numPr>
        <w:spacing w:after="80" w:line="280"/>
      </w:pPr>
      <w:r>
        <w:t xml:space="preserve">Article U-Net : Ronneberger et al., 2015 (lecture de l’abstract et des figures suffit).</w:t>
      </w:r>
    </w:p>
    <w:p>
      <w:pPr>
        <w:pStyle w:val="Heading2"/>
        <w:spacing w:after="120" w:before="240"/>
      </w:pPr>
      <w:r>
        <w:t xml:space="preserve">7.3 Géomatique et SIG</w:t>
      </w:r>
    </w:p>
    <w:p>
      <w:pPr>
        <w:pStyle w:val="ListParagraph"/>
        <w:numPr>
          <w:ilvl w:val="0"/>
          <w:numId w:val="2"/>
        </w:numPr>
        <w:spacing w:after="80" w:line="280"/>
      </w:pPr>
      <w:r>
        <w:t xml:space="preserve">Documentation rasterio : </w:t>
      </w:r>
      <w:hyperlink w:history="1" r:id="rIdquorgk9hysa0fmspo5qe4">
        <w:r>
          <w:rPr>
            <w:rStyle w:val="Hyperlink"/>
          </w:rPr>
          <w:t xml:space="preserve">rasterio.readthedocs.io</w:t>
        </w:r>
      </w:hyperlink>
      <w:r>
        <w:t xml:space="preserve"> (lecture raster, features.shapes).</w:t>
      </w:r>
    </w:p>
    <w:p>
      <w:pPr>
        <w:pStyle w:val="ListParagraph"/>
        <w:numPr>
          <w:ilvl w:val="0"/>
          <w:numId w:val="2"/>
        </w:numPr>
        <w:spacing w:after="80" w:line="280"/>
      </w:pPr>
      <w:r>
        <w:t xml:space="preserve">Documentation GeoPandas : fondamentaux pour lecture / écriture de Shapefile et GeoJSON.</w:t>
      </w:r>
    </w:p>
    <w:p>
      <w:pPr>
        <w:pStyle w:val="ListParagraph"/>
        <w:numPr>
          <w:ilvl w:val="0"/>
          <w:numId w:val="2"/>
        </w:numPr>
        <w:spacing w:after="80" w:line="280"/>
      </w:pPr>
      <w:r>
        <w:t xml:space="preserve">QGIS — à installer sur le PC pour valider visuellement les résultats vectoriels.</w:t>
      </w:r>
    </w:p>
    <w:p>
      <w:pPr>
        <w:pStyle w:val="Heading2"/>
        <w:spacing w:after="120" w:before="240"/>
      </w:pPr>
      <w:r>
        <w:t xml:space="preserve">7.4 Django et interface web</w:t>
      </w:r>
    </w:p>
    <w:p>
      <w:pPr>
        <w:pStyle w:val="ListParagraph"/>
        <w:numPr>
          <w:ilvl w:val="0"/>
          <w:numId w:val="2"/>
        </w:numPr>
        <w:spacing w:after="80" w:line="280"/>
      </w:pPr>
      <w:r>
        <w:t xml:space="preserve">Documentation officielle Django — tutoriel « Writing your first Django app » (6 parties).</w:t>
      </w:r>
    </w:p>
    <w:p>
      <w:pPr>
        <w:pStyle w:val="ListParagraph"/>
        <w:numPr>
          <w:ilvl w:val="0"/>
          <w:numId w:val="2"/>
        </w:numPr>
        <w:spacing w:after="80" w:line="280"/>
      </w:pPr>
      <w:r>
        <w:t xml:space="preserve">django-leaflet : </w:t>
      </w:r>
      <w:hyperlink w:history="1" r:id="rIdtc4ebxhsp7gfnbhfqjspr">
        <w:r>
          <w:rPr>
            <w:rStyle w:val="Hyperlink"/>
          </w:rPr>
          <w:t xml:space="preserve">github.com/makinacorpus/django-leaflet</w:t>
        </w:r>
      </w:hyperlink>
      <w:r>
        <w:t xml:space="preserve"> (README et exemple).</w:t>
      </w:r>
    </w:p>
    <w:p>
      <w:pPr>
        <w:pStyle w:val="Heading2"/>
        <w:spacing w:after="120" w:before="240"/>
      </w:pPr>
      <w:r>
        <w:t xml:space="preserve">7.5 Publications de référence</w:t>
      </w:r>
    </w:p>
    <w:p>
      <w:pPr>
        <w:pStyle w:val="ListParagraph"/>
        <w:numPr>
          <w:ilvl w:val="0"/>
          <w:numId w:val="2"/>
        </w:numPr>
        <w:spacing w:after="80" w:line="280"/>
      </w:pPr>
      <w:r>
        <w:t xml:space="preserve">« Automatic vectorization of historical maps: A benchmark » — PLOS ONE 2024 : </w:t>
      </w:r>
      <w:hyperlink w:history="1" r:id="rIdnmrqmkwcbtzh_ji2mvipf">
        <w:r>
          <w:rPr>
            <w:rStyle w:val="Hyperlink"/>
          </w:rPr>
          <w:t xml:space="preserve">journals.plos.org/plosone/article</w:t>
        </w:r>
      </w:hyperlink>
      <w:r>
        <w:t xml:space="preserve"> (article de référence du projet soduco, à citer dans le rapport).</w:t>
      </w:r>
    </w:p>
    <w:p>
      <w:r>
        <w:br w:type="page"/>
      </w:r>
    </w:p>
    <w:p>
      <w:pPr>
        <w:pStyle w:val="Heading1"/>
        <w:spacing w:after="120" w:before="240"/>
      </w:pPr>
      <w:r>
        <w:t xml:space="preserve">8. Livrables attendus</w:t>
      </w:r>
    </w:p>
    <w:p>
      <w:pPr>
        <w:pStyle w:val="ListParagraph"/>
        <w:numPr>
          <w:ilvl w:val="0"/>
          <w:numId w:val="2"/>
        </w:numPr>
        <w:spacing w:after="80" w:line="280"/>
      </w:pPr>
      <w:r>
        <w:rPr>
          <w:b/>
          <w:bCs/>
        </w:rPr>
        <w:t xml:space="preserve">Code source : </w:t>
      </w:r>
      <w:r>
        <w:t xml:space="preserve">dépôt Git organisé en modules (prétraitement, segmentation couleur, segmentation IA, vectorisation, géoréférencement, application Django). README d’installation.</w:t>
      </w:r>
    </w:p>
    <w:p>
      <w:pPr>
        <w:pStyle w:val="ListParagraph"/>
        <w:numPr>
          <w:ilvl w:val="0"/>
          <w:numId w:val="2"/>
        </w:numPr>
        <w:spacing w:after="80" w:line="280"/>
      </w:pPr>
      <w:r>
        <w:rPr>
          <w:b/>
          <w:bCs/>
        </w:rPr>
        <w:t xml:space="preserve">Jeu de données de test : </w:t>
      </w:r>
      <w:r>
        <w:t xml:space="preserve">au moins deux cartes raster, vectorisations de référence (vérité terrain) si possible.</w:t>
      </w:r>
    </w:p>
    <w:p>
      <w:pPr>
        <w:pStyle w:val="ListParagraph"/>
        <w:numPr>
          <w:ilvl w:val="0"/>
          <w:numId w:val="2"/>
        </w:numPr>
        <w:spacing w:after="80" w:line="280"/>
      </w:pPr>
      <w:r>
        <w:rPr>
          <w:b/>
          <w:bCs/>
        </w:rPr>
        <w:t xml:space="preserve">Application web : </w:t>
      </w:r>
      <w:r>
        <w:t xml:space="preserve">déployable localement avec une commande (docker-compose ou instructions README).</w:t>
      </w:r>
    </w:p>
    <w:p>
      <w:pPr>
        <w:pStyle w:val="ListParagraph"/>
        <w:numPr>
          <w:ilvl w:val="0"/>
          <w:numId w:val="2"/>
        </w:numPr>
        <w:spacing w:after="80" w:line="280"/>
      </w:pPr>
      <w:r>
        <w:rPr>
          <w:b/>
          <w:bCs/>
        </w:rPr>
        <w:t xml:space="preserve">Rapport PFA : </w:t>
      </w:r>
      <w:r>
        <w:t xml:space="preserve">environ 30 à 50 pages, structuré en introduction, état de l’art, méthodologie, architecture, résultats, perspectives.</w:t>
      </w:r>
    </w:p>
    <w:p>
      <w:pPr>
        <w:pStyle w:val="ListParagraph"/>
        <w:numPr>
          <w:ilvl w:val="0"/>
          <w:numId w:val="2"/>
        </w:numPr>
        <w:spacing w:after="80" w:line="280"/>
      </w:pPr>
      <w:r>
        <w:rPr>
          <w:b/>
          <w:bCs/>
        </w:rPr>
        <w:t xml:space="preserve">Présentation de soutenance : </w:t>
      </w:r>
      <w:r>
        <w:t xml:space="preserve">slides + démo vidéo du pipeline de bout en bout.</w:t>
      </w:r>
    </w:p>
    <w:p>
      <w:r>
        <w:br w:type="page"/>
      </w:r>
    </w:p>
    <w:p>
      <w:pPr>
        <w:pStyle w:val="Heading1"/>
      </w:pPr>
      <w:r>
        <w:t xml:space="preserve">9. Etat des integrations</w:t>
      </w:r>
    </w:p>
    <w:p>
      <w:pPr>
        <w:spacing w:after="80"/>
        <w:jc w:val="center"/>
      </w:pPr>
      <w:r>
        <w:rPr>
          <w:b/>
          <w:bCs/>
          <w:sz w:val="24"/>
          <w:szCs w:val="24"/>
        </w:rPr>
        <w:t xml:space="preserve">Ce projet combine trois competences : geomatique (comprehension des cartes et des donnees spatiales), vision par ordinateur classique (OpenCV, scikit-image, calibration HSV sur 8 cartes reelles Tunisie + Algerie) et deep learning applique (PyTorch, U-Net, dataset SEMAP 13 561 echantillons). L'architecture modulaire — pipeline en couches independantes, agent LangGraph orchestrant les etapes, API REST exposant les donnees, frontend React pour la visualisation et la correction interactive avec active learning — permet d'iterer rapidement sur chaque composant sans casser les autres.</w:t>
      </w:r>
    </w:p>
    <w:p>
      <w:pPr>
        <w:pStyle w:val="Heading2"/>
        <w:spacing w:after="120" w:before="240"/>
      </w:pPr>
      <w:r>
        <w:t xml:space="preserve">9.1 Pipeline cartographique</w:t>
      </w:r>
    </w:p>
    <w:p>
      <w:pPr>
        <w:pStyle w:val="ListParagraph"/>
        <w:numPr>
          <w:ilvl w:val="0"/>
          <w:numId w:val="2"/>
        </w:numPr>
        <w:spacing w:after="80" w:line="280"/>
      </w:pPr>
      <w:r>
        <w:t xml:space="preserve">Detection en 2 etapes du cadre cartographique. detect_map_frame() identifie le neatline (marge externe), puis detect_legend_x() supprime la legende interne (panneau droit). Calibre sur 8 cartes militaires reelles AMS / GSGS au 1:50 000 — Bizerte, Tunis, Ain El Kseiba (Tunisie), Ain Bessem, Alger, Terny, Warnier, Renault (Algerie).</w:t>
      </w:r>
    </w:p>
    <w:p>
      <w:pPr>
        <w:pStyle w:val="ListParagraph"/>
        <w:numPr>
          <w:ilvl w:val="0"/>
          <w:numId w:val="2"/>
        </w:numPr>
        <w:spacing w:after="80" w:line="280"/>
      </w:pPr>
      <w:r>
        <w:t xml:space="preserve">Plages HSV calibrees dans data/dataset_config.json. La saturation minimale des routes rouges est abaissee de 90 a 60 pour capturer les routes bordeaux delavees, et celle de la vegetation de 40 a 20.</w:t>
      </w:r>
    </w:p>
    <w:p>
      <w:pPr>
        <w:pStyle w:val="ListParagraph"/>
        <w:numPr>
          <w:ilvl w:val="0"/>
          <w:numId w:val="2"/>
        </w:numPr>
        <w:spacing w:after="80" w:line="280"/>
      </w:pPr>
      <w:r>
        <w:t xml:space="preserve">Anti-explosion de features. La fonction filter_skeleton_by_length() elimine les composantes squelettisees de longueur inferieure a 50 pixels, ramenant typiquement de 7 000+ fragments parasites a moins de 100 vraies courbes.</w:t>
      </w:r>
    </w:p>
    <w:p>
      <w:pPr>
        <w:pStyle w:val="ListParagraph"/>
        <w:numPr>
          <w:ilvl w:val="0"/>
          <w:numId w:val="2"/>
        </w:numPr>
        <w:spacing w:after="80" w:line="280"/>
      </w:pPr>
      <w:r>
        <w:t xml:space="preserve">Geo-referencement automatique. 8 feuilles AMS Algerie + Tunisie sont enregistrees dans AMS_ALGERIA_SHEETS avec leurs 4 coins WGS84. Les fonctions apply_transform_to_geojson() et filter_features_by_bbox() convertissent les coords pixel en lat / lon par interpolation bilineaire et filtrent les features qui depassent du cadre.</w:t>
      </w:r>
    </w:p>
    <w:p>
      <w:pPr>
        <w:pStyle w:val="Heading2"/>
        <w:spacing w:after="120" w:before="240"/>
      </w:pPr>
      <w:r>
        <w:t xml:space="preserve">9.2 Agent IA et active learning</w:t>
      </w:r>
    </w:p>
    <w:p>
      <w:pPr>
        <w:pStyle w:val="ListParagraph"/>
        <w:numPr>
          <w:ilvl w:val="0"/>
          <w:numId w:val="2"/>
        </w:numPr>
        <w:spacing w:after="80" w:line="280"/>
      </w:pPr>
      <w:r>
        <w:t xml:space="preserve">L'orchestrateur pipeline.agent.run_agent() implemente le cycle Perceive -&gt; Plan -&gt; Execute -&gt; QA en LangGraph. Un fallback automatique vers le pipeline classique est declenche si LangGraph n'est pas installe, ce qui garantit que la chaine de traitement fonctionne meme sans dependances optionnelles.</w:t>
      </w:r>
    </w:p>
    <w:p>
      <w:pPr>
        <w:pStyle w:val="ListParagraph"/>
        <w:numPr>
          <w:ilvl w:val="0"/>
          <w:numId w:val="2"/>
        </w:numPr>
        <w:spacing w:after="80" w:line="280"/>
      </w:pPr>
      <w:r>
        <w:t xml:space="preserve">Active learning de niveau 1. pipeline.active_learning.process_correction() mine les corrections HITL pour mettre a jour les plages HSV par serie de carte. La mise a jour utilise une moyenne mobile exponentielle (EMA alpha = 0.3) pour eviter qu'une correction aberrante ne devie tout le registre.</w:t>
      </w:r>
    </w:p>
    <w:p>
      <w:pPr>
        <w:pStyle w:val="Heading2"/>
        <w:spacing w:after="120" w:before="240"/>
      </w:pPr>
      <w:r>
        <w:t xml:space="preserve">9.3 Backend Django + API REST</w:t>
      </w:r>
    </w:p>
    <w:p>
      <w:pPr>
        <w:pStyle w:val="ListParagraph"/>
        <w:numPr>
          <w:ilvl w:val="0"/>
          <w:numId w:val="2"/>
        </w:numPr>
        <w:spacing w:after="80" w:line="280"/>
      </w:pPr>
      <w:r>
        <w:t xml:space="preserve">Modeles V2. MapUpload enrichi (map_name, map_type, confidence_score, qa_passed, retry_count, georef_crs, raster_bounds) et nouveaux modeles Correction et TrainingPatch pour la boucle HITL. Les helpers mark_processing / mark_done / mark_failed simplifient l'orchestration.</w:t>
      </w:r>
    </w:p>
    <w:p>
      <w:pPr>
        <w:pStyle w:val="ListParagraph"/>
        <w:numPr>
          <w:ilvl w:val="0"/>
          <w:numId w:val="2"/>
        </w:numPr>
        <w:spacing w:after="80" w:line="280"/>
      </w:pPr>
      <w:r>
        <w:t xml:space="preserve">API REST DRF. Endpoints exposes : GET / POST /api/maps/, GET /api/maps/&lt;id&gt;/status/, GET /api/maps/&lt;id&gt;/geojson/, PATCH /api/maps/&lt;id&gt;/corrections/, et endpoints active learning /api/calibration/&lt;series&gt;/.</w:t>
      </w:r>
    </w:p>
    <w:p>
      <w:pPr>
        <w:pStyle w:val="Heading2"/>
        <w:spacing w:after="120" w:before="240"/>
      </w:pPr>
      <w:r>
        <w:t xml:space="preserve">9.4 Frontend React / Vite</w:t>
      </w:r>
    </w:p>
    <w:p>
      <w:pPr>
        <w:pStyle w:val="ListParagraph"/>
        <w:numPr>
          <w:ilvl w:val="0"/>
          <w:numId w:val="2"/>
        </w:numPr>
        <w:spacing w:after="80" w:line="280"/>
      </w:pPr>
      <w:r>
        <w:t xml:space="preserve">Composant MapViewer.jsx. Visualiseur Leaflet avec ImageOverlay du raster historique + superposition des couches GeoJSON par classe. Edition HITL via Geoman (clic pour selectionner, suppression de faux positifs, edition des sommets), sauvegarde batch via l'API REST.</w:t>
      </w:r>
    </w:p>
    <w:p>
      <w:pPr>
        <w:pStyle w:val="ListParagraph"/>
        <w:numPr>
          <w:ilvl w:val="0"/>
          <w:numId w:val="2"/>
        </w:numPr>
        <w:spacing w:after="80" w:line="280"/>
      </w:pPr>
      <w:r>
        <w:t xml:space="preserve">Composant CalibrationPanel.jsx. Panneau temps reel de l'etat des calibrations active learning. Compteur de corrections par couche, badge ACTIVE des qu'on atteint 3 corrections, barres colorees pour H / S / V, timeline des modifications et bouton de reset administrateur.</w:t>
      </w:r>
    </w:p>
    <w:p>
      <w:pPr>
        <w:pStyle w:val="Heading1"/>
      </w:pPr>
      <w:r>
        <w:t xml:space="preserve">10. Datasets et modeles externes</w:t>
      </w:r>
    </w:p>
    <w:p>
      <w:pPr>
        <w:spacing w:after="80"/>
        <w:jc w:val="center"/>
      </w:pPr>
      <w:r>
        <w:rPr>
          <w:b/>
          <w:bCs/>
          <w:sz w:val="24"/>
          <w:szCs w:val="24"/>
        </w:rPr>
        <w:t xml:space="preserve">Le projet s'appuie sur deux datasets et un modele pre-entraine, tous hors du depot Git pour des raisons de taille.</w:t>
      </w:r>
    </w:p>
    <w:p>
      <w:pPr>
        <w:pStyle w:val="Heading2"/>
        <w:spacing w:after="120" w:before="240"/>
      </w:pPr>
      <w:r>
        <w:t xml:space="preserve">10.1 Dataset SODUCO Benchmark</w:t>
      </w:r>
    </w:p>
    <w:p>
      <w:pPr>
        <w:pStyle w:val="ListParagraph"/>
        <w:numPr>
          <w:ilvl w:val="0"/>
          <w:numId w:val="2"/>
        </w:numPr>
        <w:spacing w:after="80" w:line="280"/>
      </w:pPr>
      <w:r>
        <w:t xml:space="preserve">Localisation : data/historical_maps/. Cartes du Paris BnF avec labels en couleurs BGR (palette dans classes.json). 5 classes : background, inside_blocks, building_walls, street_network, unknown. 256 images train + 49 images eval, resolution 1 000 x 1 000. Utilise par scripts/train_mapseg.py.</w:t>
      </w:r>
    </w:p>
    <w:p>
      <w:pPr>
        <w:pStyle w:val="Heading2"/>
        <w:spacing w:after="120" w:before="240"/>
      </w:pPr>
      <w:r>
        <w:t xml:space="preserve">10.2 Dataset SEMAP (Petitpierre 2025)</w:t>
      </w:r>
    </w:p>
    <w:p>
      <w:pPr>
        <w:pStyle w:val="ListParagraph"/>
        <w:numPr>
          <w:ilvl w:val="0"/>
          <w:numId w:val="2"/>
        </w:numPr>
        <w:spacing w:after="80" w:line="280"/>
      </w:pPr>
      <w:r>
        <w:t xml:space="preserve">Le plus gros dataset annote pour la segmentation de cartes historiques a ce jour : 1 439 images reelles + 12 122 synthetiques, soit 13 561 echantillons. Splits officiels train / val / test : 10 703 / 2 712 / 143. Resolution 768 x 768 a 1 000 x 1 000. 6 classes index-based : background, contours, built, non_built, water, road_network. Licence CC BY 4.0.</w:t>
      </w:r>
    </w:p>
    <w:p>
      <w:pPr>
        <w:pStyle w:val="ListParagraph"/>
        <w:numPr>
          <w:ilvl w:val="0"/>
          <w:numId w:val="2"/>
        </w:numPr>
        <w:spacing w:after="80" w:line="280"/>
      </w:pPr>
      <w:r>
        <w:t xml:space="preserve">Citation : Petitpierre R, Gomez Donoso D, Kriesel B (2025). Semantic Segmentation Map Dataset (Semap). EPFL. DOI 10.5281/zenodo.16164781.</w:t>
      </w:r>
    </w:p>
    <w:p>
      <w:pPr>
        <w:pStyle w:val="ListParagraph"/>
        <w:numPr>
          <w:ilvl w:val="0"/>
          <w:numId w:val="2"/>
        </w:numPr>
        <w:spacing w:after="80" w:line="280"/>
      </w:pPr>
      <w:r>
        <w:t xml:space="preserve">Le dataset reste localise hors Git (2 Go). Son chemin est defini dans data/semap_config.json, champ external_root. Le chargeur PyTorch pipeline.semap_dataset.SemapDataset utilise les partitions officielles et supporte un flag include_synthetic pour exclure les 12 122 images synthetiques si besoin.</w:t>
      </w:r>
    </w:p>
    <w:p>
      <w:pPr>
        <w:pStyle w:val="Heading2"/>
        <w:spacing w:after="120" w:before="240"/>
      </w:pPr>
      <w:r>
        <w:t xml:space="preserve">10.3 Modele Mask2Former Swin-L pre-entraine</w:t>
      </w:r>
    </w:p>
    <w:p>
      <w:pPr>
        <w:pStyle w:val="ListParagraph"/>
        <w:numPr>
          <w:ilvl w:val="0"/>
          <w:numId w:val="2"/>
        </w:numPr>
        <w:spacing w:after="80" w:line="280"/>
      </w:pPr>
      <w:r>
        <w:t xml:space="preserve">Fourni avec SEMAP : best_mIoU_iter_138828.pth (908 Mo). Architecture Mask2Former Swin-L, framework mmsegmentation v1.2.2. mIoU rapporte ~0.78 sur SEMAP val. Necessite ~6 Go VRAM en inference, donc incompatible avec une RTX 2050 (4 Go) en pratique. Utilisable directement sur Colab T4 (15 Go VRAM).</w:t>
      </w:r>
    </w:p>
    <w:p>
      <w:pPr>
        <w:pStyle w:val="ListParagraph"/>
        <w:numPr>
          <w:ilvl w:val="0"/>
          <w:numId w:val="2"/>
        </w:numPr>
        <w:spacing w:after="80" w:line="280"/>
      </w:pPr>
      <w:r>
        <w:t xml:space="preserve">Strategie de distillation documentee dans docs/semap_dataset.md : utiliser Mask2Former sur Colab pour produire des pseudo-GT sur les cartes locales (Tunisie / Algerie), puis ajouter ces masques au training set du U-Net leger (scripts/train_semap.py). Le student U-Net atteint typiquement 90-95% du mIoU du teacher Mask2Former.</w:t>
      </w:r>
    </w:p>
    <w:p>
      <w:pPr>
        <w:pStyle w:val="Heading1"/>
        <w:spacing w:after="120" w:before="240"/>
      </w:pPr>
      <w:r>
        <w:t xml:space="preserve">11. Conclusion</w:t>
      </w:r>
    </w:p>
    <w:p>
      <w:pPr>
        <w:spacing w:after="120" w:line="300"/>
      </w:pPr>
      <w:r>
        <w:t xml:space="preserve">Ce projet combine trois compétences : géomatique (compréhension des cartes et des données spatiales), vision par ordinateur (traitement d’images) et intelligence artificielle (modèles de segmentation). L’approche retenue privilégie l’intégration de briques open source éprouvées à la réinvention, ce qui est à la fois réaliste dans le temps imparti et représentatif du travail d’un ingénieur en situation professionnelle.</w:t>
      </w:r>
    </w:p>
    <w:p>
      <w:pPr>
        <w:spacing w:after="120" w:line="300"/>
      </w:pPr>
      <w:r>
        <w:t xml:space="preserve">Le résultat visé est un agent logiciel bout en bout, utilisable à travers une interface web, capable de transformer une carte papier scannée en données vectorielles géoréférencées prêtes à intégrer dans un SIG militaire.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8"/>
        <w:szCs w:val="18"/>
      </w:rPr>
      <w:t xml:space="preserve">PFA — Agent IA de vectorisation de cartes</w:t>
    </w:r>
    <w:r>
      <w:rPr>
        <w:color w:val="888888"/>
        <w:sz w:val="18"/>
        <w:szCs w:val="18"/>
      </w:rPr>
      <w:t xml:space="preserve">	Oussama CHOUAIBI — Géomatique 2A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2E5C8A"/>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44444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azmdttmpdz2xbwokpvbg" Type="http://schemas.openxmlformats.org/officeDocument/2006/relationships/hyperlink" Target="https://github.com/soduco/Benchmark_historical_map_vectorization" TargetMode="External"/><Relationship Id="rIddtdd7smi8ik-3lstbre8i" Type="http://schemas.openxmlformats.org/officeDocument/2006/relationships/hyperlink" Target="https://github.com/farhad-dalirani/Satellite-Imagery-Road-Segmentation" TargetMode="External"/><Relationship Id="rIdnyt28am00xzic_8krvjmk" Type="http://schemas.openxmlformats.org/officeDocument/2006/relationships/hyperlink" Target="https://github.com/qubvel/segmentation_models.pytorch" TargetMode="External"/><Relationship Id="rId5aeibamh1x4ddwey_5mzf" Type="http://schemas.openxmlformats.org/officeDocument/2006/relationships/hyperlink" Target="https://github.com/azavea/raster-vision" TargetMode="External"/><Relationship Id="rIdhhxoxrailoudu6sykcolu" Type="http://schemas.openxmlformats.org/officeDocument/2006/relationships/hyperlink" Target="https://github.com/makinacorpus/django-leaflet" TargetMode="External"/><Relationship Id="rIdmlqzyneir8ig1hpsyuuhg" Type="http://schemas.openxmlformats.org/officeDocument/2006/relationships/hyperlink" Target="https://github.com/makinacorpus/django-geojson" TargetMode="External"/><Relationship Id="rIdvywmho8kqg42mtc_knmi-" Type="http://schemas.openxmlformats.org/officeDocument/2006/relationships/hyperlink" Target="https://docs.opencv.org/4.x/d6/d00/tutorial_py_root.html" TargetMode="External"/><Relationship Id="rIdsodhnjcuw-ij3oi8imfct" Type="http://schemas.openxmlformats.org/officeDocument/2006/relationships/hyperlink" Target="https://github.com/qubvel/segmentation_models.pytorch" TargetMode="External"/><Relationship Id="rIdquorgk9hysa0fmspo5qe4" Type="http://schemas.openxmlformats.org/officeDocument/2006/relationships/hyperlink" Target="https://rasterio.readthedocs.io/" TargetMode="External"/><Relationship Id="rIdtc4ebxhsp7gfnbhfqjspr" Type="http://schemas.openxmlformats.org/officeDocument/2006/relationships/hyperlink" Target="https://github.com/makinacorpus/django-leaflet" TargetMode="External"/><Relationship Id="rIdnmrqmkwcbtzh_ji2mvipf" Type="http://schemas.openxmlformats.org/officeDocument/2006/relationships/hyperlink" Target="https://journals.plos.org/plosone/article?id=10.1371/journal.pone.0298217" TargetMode="External"/><Relationship Id="rId2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PFA — Cadrage — Agent IA de vectorisation de cartes</dc:title>
  <dc:creator>Oussama CHOUAIBI</dc:creator>
  <dc:description>Document de cadrage du PFA</dc:description>
  <cp:lastModifiedBy>Un-named</cp:lastModifiedBy>
  <cp:revision>1</cp:revision>
  <dcterms:created xsi:type="dcterms:W3CDTF">2026-04-24T20:33:15.763Z</dcterms:created>
  <dcterms:modified xsi:type="dcterms:W3CDTF">2026-04-24T20:33:15.763Z</dcterms:modified>
</cp:coreProperties>
</file>

<file path=docProps/custom.xml><?xml version="1.0" encoding="utf-8"?>
<Properties xmlns="http://schemas.openxmlformats.org/officeDocument/2006/custom-properties" xmlns:vt="http://schemas.openxmlformats.org/officeDocument/2006/docPropsVTypes"/>
</file>