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E32DA" w14:textId="72FCBD07" w:rsidR="00F24D2F" w:rsidRDefault="008F74E0" w:rsidP="00F24D2F">
      <w:pPr>
        <w:pStyle w:val="Heading1"/>
        <w:jc w:val="center"/>
        <w:rPr>
          <w:b/>
          <w:bCs/>
          <w:lang w:val="fr-CA"/>
        </w:rPr>
      </w:pPr>
      <w:r w:rsidRPr="008F74E0">
        <w:rPr>
          <w:b/>
          <w:bCs/>
          <w:lang w:val="fr-CA"/>
        </w:rPr>
        <w:t xml:space="preserve">Rapport d'Analyse des Ventes pour </w:t>
      </w:r>
      <w:proofErr w:type="spellStart"/>
      <w:r w:rsidRPr="008F74E0">
        <w:rPr>
          <w:b/>
          <w:bCs/>
          <w:lang w:val="fr-CA"/>
        </w:rPr>
        <w:t>Beans</w:t>
      </w:r>
      <w:proofErr w:type="spellEnd"/>
      <w:r w:rsidRPr="008F74E0">
        <w:rPr>
          <w:b/>
          <w:bCs/>
          <w:lang w:val="fr-CA"/>
        </w:rPr>
        <w:t xml:space="preserve"> &amp; </w:t>
      </w:r>
      <w:proofErr w:type="spellStart"/>
      <w:r w:rsidRPr="008F74E0">
        <w:rPr>
          <w:b/>
          <w:bCs/>
          <w:lang w:val="fr-CA"/>
        </w:rPr>
        <w:t>Pods</w:t>
      </w:r>
      <w:proofErr w:type="spellEnd"/>
    </w:p>
    <w:p w14:paraId="65F729B9" w14:textId="77777777" w:rsidR="008F74E0" w:rsidRDefault="008F74E0" w:rsidP="008F74E0">
      <w:pPr>
        <w:rPr>
          <w:lang w:val="fr-CA"/>
        </w:rPr>
      </w:pPr>
    </w:p>
    <w:p w14:paraId="55ADD224" w14:textId="77777777" w:rsidR="008F74E0" w:rsidRPr="008F74E0" w:rsidRDefault="008F74E0" w:rsidP="008F74E0">
      <w:pPr>
        <w:rPr>
          <w:b/>
          <w:bCs/>
          <w:lang w:val="fr-CA"/>
        </w:rPr>
      </w:pPr>
      <w:r w:rsidRPr="008F74E0">
        <w:rPr>
          <w:b/>
          <w:bCs/>
          <w:lang w:val="fr-CA"/>
        </w:rPr>
        <w:t>Introduction</w:t>
      </w:r>
    </w:p>
    <w:p w14:paraId="2C06E3BC" w14:textId="77777777" w:rsidR="00963637" w:rsidRPr="00963637" w:rsidRDefault="00963637" w:rsidP="00963637">
      <w:pPr>
        <w:rPr>
          <w:lang w:val="en-US"/>
        </w:rPr>
      </w:pPr>
      <w:r w:rsidRPr="00963637">
        <w:rPr>
          <w:lang w:val="en-US"/>
        </w:rPr>
        <w:t xml:space="preserve">Beans &amp; Pods, </w:t>
      </w:r>
      <w:proofErr w:type="spellStart"/>
      <w:r w:rsidRPr="00963637">
        <w:rPr>
          <w:lang w:val="en-US"/>
        </w:rPr>
        <w:t>une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entreprise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en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pleine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croissance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spécialisée</w:t>
      </w:r>
      <w:proofErr w:type="spellEnd"/>
      <w:r w:rsidRPr="00963637">
        <w:rPr>
          <w:lang w:val="en-US"/>
        </w:rPr>
        <w:t xml:space="preserve"> dans la vente de grains de café et de </w:t>
      </w:r>
      <w:proofErr w:type="spellStart"/>
      <w:r w:rsidRPr="00963637">
        <w:rPr>
          <w:lang w:val="en-US"/>
        </w:rPr>
        <w:t>gousses</w:t>
      </w:r>
      <w:proofErr w:type="spellEnd"/>
      <w:r w:rsidRPr="00963637">
        <w:rPr>
          <w:lang w:val="en-US"/>
        </w:rPr>
        <w:t xml:space="preserve">, a </w:t>
      </w:r>
      <w:proofErr w:type="spellStart"/>
      <w:r w:rsidRPr="00963637">
        <w:rPr>
          <w:lang w:val="en-US"/>
        </w:rPr>
        <w:t>récemment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développé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une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présence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en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ligne</w:t>
      </w:r>
      <w:proofErr w:type="spellEnd"/>
      <w:r w:rsidRPr="00963637">
        <w:rPr>
          <w:lang w:val="en-US"/>
        </w:rPr>
        <w:t xml:space="preserve"> grâce au </w:t>
      </w:r>
      <w:proofErr w:type="spellStart"/>
      <w:r w:rsidRPr="00963637">
        <w:rPr>
          <w:lang w:val="en-US"/>
        </w:rPr>
        <w:t>soutien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d'Angeli</w:t>
      </w:r>
      <w:proofErr w:type="spellEnd"/>
      <w:r w:rsidRPr="00963637">
        <w:rPr>
          <w:lang w:val="en-US"/>
        </w:rPr>
        <w:t xml:space="preserve"> VC. Ce rapport </w:t>
      </w:r>
      <w:proofErr w:type="spellStart"/>
      <w:proofErr w:type="gramStart"/>
      <w:r w:rsidRPr="00963637">
        <w:rPr>
          <w:lang w:val="en-US"/>
        </w:rPr>
        <w:t>analyse</w:t>
      </w:r>
      <w:proofErr w:type="spellEnd"/>
      <w:proofErr w:type="gramEnd"/>
      <w:r w:rsidRPr="00963637">
        <w:rPr>
          <w:lang w:val="en-US"/>
        </w:rPr>
        <w:t xml:space="preserve"> les ventes </w:t>
      </w:r>
      <w:proofErr w:type="spellStart"/>
      <w:r w:rsidRPr="00963637">
        <w:rPr>
          <w:lang w:val="en-US"/>
        </w:rPr>
        <w:t>en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fonction</w:t>
      </w:r>
      <w:proofErr w:type="spellEnd"/>
      <w:r w:rsidRPr="00963637">
        <w:rPr>
          <w:lang w:val="en-US"/>
        </w:rPr>
        <w:t xml:space="preserve"> du canal de distribution (</w:t>
      </w:r>
      <w:proofErr w:type="spellStart"/>
      <w:r w:rsidRPr="00963637">
        <w:rPr>
          <w:lang w:val="en-US"/>
        </w:rPr>
        <w:t>magasin</w:t>
      </w:r>
      <w:proofErr w:type="spellEnd"/>
      <w:r w:rsidRPr="00963637">
        <w:rPr>
          <w:lang w:val="en-US"/>
        </w:rPr>
        <w:t xml:space="preserve"> physique et boutique </w:t>
      </w:r>
      <w:proofErr w:type="spellStart"/>
      <w:r w:rsidRPr="00963637">
        <w:rPr>
          <w:lang w:val="en-US"/>
        </w:rPr>
        <w:t>en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ligne</w:t>
      </w:r>
      <w:proofErr w:type="spellEnd"/>
      <w:r w:rsidRPr="00963637">
        <w:rPr>
          <w:lang w:val="en-US"/>
        </w:rPr>
        <w:t xml:space="preserve">), des </w:t>
      </w:r>
      <w:proofErr w:type="spellStart"/>
      <w:r w:rsidRPr="00963637">
        <w:rPr>
          <w:lang w:val="en-US"/>
        </w:rPr>
        <w:t>différents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produits</w:t>
      </w:r>
      <w:proofErr w:type="spellEnd"/>
      <w:r w:rsidRPr="00963637">
        <w:rPr>
          <w:lang w:val="en-US"/>
        </w:rPr>
        <w:t xml:space="preserve"> et des </w:t>
      </w:r>
      <w:proofErr w:type="spellStart"/>
      <w:r w:rsidRPr="00963637">
        <w:rPr>
          <w:lang w:val="en-US"/>
        </w:rPr>
        <w:t>régions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géographiques</w:t>
      </w:r>
      <w:proofErr w:type="spellEnd"/>
      <w:r w:rsidRPr="00963637">
        <w:rPr>
          <w:lang w:val="en-US"/>
        </w:rPr>
        <w:t xml:space="preserve">. Il propose </w:t>
      </w:r>
      <w:proofErr w:type="spellStart"/>
      <w:r w:rsidRPr="00963637">
        <w:rPr>
          <w:lang w:val="en-US"/>
        </w:rPr>
        <w:t>également</w:t>
      </w:r>
      <w:proofErr w:type="spellEnd"/>
      <w:r w:rsidRPr="00963637">
        <w:rPr>
          <w:lang w:val="en-US"/>
        </w:rPr>
        <w:t xml:space="preserve"> des </w:t>
      </w:r>
      <w:proofErr w:type="spellStart"/>
      <w:r w:rsidRPr="00963637">
        <w:rPr>
          <w:lang w:val="en-US"/>
        </w:rPr>
        <w:t>recommandations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stratégiques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afin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d'optimiser</w:t>
      </w:r>
      <w:proofErr w:type="spellEnd"/>
      <w:r w:rsidRPr="00963637">
        <w:rPr>
          <w:lang w:val="en-US"/>
        </w:rPr>
        <w:t xml:space="preserve"> les performances </w:t>
      </w:r>
      <w:proofErr w:type="spellStart"/>
      <w:r w:rsidRPr="00963637">
        <w:rPr>
          <w:lang w:val="en-US"/>
        </w:rPr>
        <w:t>commerciales</w:t>
      </w:r>
      <w:proofErr w:type="spellEnd"/>
      <w:r w:rsidRPr="00963637">
        <w:rPr>
          <w:lang w:val="en-US"/>
        </w:rPr>
        <w:t xml:space="preserve"> et </w:t>
      </w:r>
      <w:proofErr w:type="spellStart"/>
      <w:r w:rsidRPr="00963637">
        <w:rPr>
          <w:lang w:val="en-US"/>
        </w:rPr>
        <w:t>d'améliorer</w:t>
      </w:r>
      <w:proofErr w:type="spellEnd"/>
      <w:r w:rsidRPr="00963637">
        <w:rPr>
          <w:lang w:val="en-US"/>
        </w:rPr>
        <w:t xml:space="preserve"> le </w:t>
      </w:r>
      <w:proofErr w:type="spellStart"/>
      <w:r w:rsidRPr="00963637">
        <w:rPr>
          <w:lang w:val="en-US"/>
        </w:rPr>
        <w:t>ciblage</w:t>
      </w:r>
      <w:proofErr w:type="spellEnd"/>
      <w:r w:rsidRPr="00963637">
        <w:rPr>
          <w:lang w:val="en-US"/>
        </w:rPr>
        <w:t xml:space="preserve"> des clients.</w:t>
      </w:r>
    </w:p>
    <w:p w14:paraId="22D8275B" w14:textId="77777777" w:rsidR="00671090" w:rsidRPr="00963637" w:rsidRDefault="00671090" w:rsidP="00671090">
      <w:pPr>
        <w:rPr>
          <w:lang w:val="en-US"/>
        </w:rPr>
      </w:pPr>
    </w:p>
    <w:p w14:paraId="7DB3C7DE" w14:textId="77777777" w:rsidR="008F74E0" w:rsidRPr="008F74E0" w:rsidRDefault="008F74E0" w:rsidP="008F74E0">
      <w:pPr>
        <w:rPr>
          <w:b/>
          <w:bCs/>
          <w:lang w:val="fr-CA"/>
        </w:rPr>
      </w:pPr>
      <w:r w:rsidRPr="008F74E0">
        <w:rPr>
          <w:b/>
          <w:bCs/>
          <w:lang w:val="fr-CA"/>
        </w:rPr>
        <w:t>1. Analyse des Ventes par Canal (Magasin vs En Ligne)</w:t>
      </w:r>
    </w:p>
    <w:p w14:paraId="0BD82084" w14:textId="77777777" w:rsidR="00963637" w:rsidRPr="00963637" w:rsidRDefault="00963637" w:rsidP="00963637">
      <w:pPr>
        <w:rPr>
          <w:lang w:val="en-US"/>
        </w:rPr>
      </w:pPr>
      <w:proofErr w:type="spellStart"/>
      <w:r w:rsidRPr="00963637">
        <w:rPr>
          <w:lang w:val="en-US"/>
        </w:rPr>
        <w:t>L'analyse</w:t>
      </w:r>
      <w:proofErr w:type="spellEnd"/>
      <w:r w:rsidRPr="00963637">
        <w:rPr>
          <w:lang w:val="en-US"/>
        </w:rPr>
        <w:t xml:space="preserve"> des ventes par canal </w:t>
      </w:r>
      <w:proofErr w:type="spellStart"/>
      <w:r w:rsidRPr="00963637">
        <w:rPr>
          <w:lang w:val="en-US"/>
        </w:rPr>
        <w:t>révèle</w:t>
      </w:r>
      <w:proofErr w:type="spellEnd"/>
      <w:r w:rsidRPr="00963637">
        <w:rPr>
          <w:lang w:val="en-US"/>
        </w:rPr>
        <w:t xml:space="preserve"> les tendances </w:t>
      </w:r>
      <w:proofErr w:type="spellStart"/>
      <w:proofErr w:type="gramStart"/>
      <w:r w:rsidRPr="00963637">
        <w:rPr>
          <w:lang w:val="en-US"/>
        </w:rPr>
        <w:t>suivantes</w:t>
      </w:r>
      <w:proofErr w:type="spellEnd"/>
      <w:r w:rsidRPr="00963637">
        <w:rPr>
          <w:lang w:val="en-US"/>
        </w:rPr>
        <w:t xml:space="preserve"> :</w:t>
      </w:r>
      <w:proofErr w:type="gramEnd"/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253"/>
        <w:gridCol w:w="2127"/>
      </w:tblGrid>
      <w:tr w:rsidR="008F74E0" w:rsidRPr="008F74E0" w14:paraId="01C58955" w14:textId="77777777" w:rsidTr="008F74E0">
        <w:trPr>
          <w:tblHeader/>
          <w:tblCellSpacing w:w="15" w:type="dxa"/>
        </w:trPr>
        <w:tc>
          <w:tcPr>
            <w:tcW w:w="1089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3B8E6DBE" w14:textId="77777777" w:rsidR="008F74E0" w:rsidRPr="008F74E0" w:rsidRDefault="008F74E0" w:rsidP="008F74E0">
            <w:pPr>
              <w:rPr>
                <w:b/>
                <w:bCs/>
              </w:rPr>
            </w:pPr>
            <w:r w:rsidRPr="008F74E0">
              <w:rPr>
                <w:b/>
                <w:bCs/>
              </w:rPr>
              <w:t>Canal</w:t>
            </w:r>
          </w:p>
        </w:tc>
        <w:tc>
          <w:tcPr>
            <w:tcW w:w="22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6214E45E" w14:textId="77777777" w:rsidR="008F74E0" w:rsidRPr="008F74E0" w:rsidRDefault="008F74E0" w:rsidP="008F74E0">
            <w:pPr>
              <w:rPr>
                <w:b/>
                <w:bCs/>
              </w:rPr>
            </w:pPr>
            <w:r w:rsidRPr="008F74E0">
              <w:rPr>
                <w:b/>
                <w:bCs/>
              </w:rPr>
              <w:t>Total des Ventes</w:t>
            </w:r>
          </w:p>
        </w:tc>
        <w:tc>
          <w:tcPr>
            <w:tcW w:w="2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5689DBE3" w14:textId="77777777" w:rsidR="008F74E0" w:rsidRPr="008F74E0" w:rsidRDefault="008F74E0" w:rsidP="008F74E0">
            <w:pPr>
              <w:rPr>
                <w:b/>
                <w:bCs/>
              </w:rPr>
            </w:pPr>
            <w:proofErr w:type="spellStart"/>
            <w:r w:rsidRPr="008F74E0">
              <w:rPr>
                <w:b/>
                <w:bCs/>
              </w:rPr>
              <w:t>Unités</w:t>
            </w:r>
            <w:proofErr w:type="spellEnd"/>
            <w:r w:rsidRPr="008F74E0">
              <w:rPr>
                <w:b/>
                <w:bCs/>
              </w:rPr>
              <w:t xml:space="preserve"> Vendues</w:t>
            </w:r>
          </w:p>
        </w:tc>
      </w:tr>
      <w:tr w:rsidR="008F74E0" w:rsidRPr="008F74E0" w14:paraId="54AA09AE" w14:textId="77777777" w:rsidTr="008F74E0">
        <w:trPr>
          <w:tblCellSpacing w:w="15" w:type="dxa"/>
        </w:trPr>
        <w:tc>
          <w:tcPr>
            <w:tcW w:w="1089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12322AA5" w14:textId="77777777" w:rsidR="008F74E0" w:rsidRPr="008F74E0" w:rsidRDefault="008F74E0" w:rsidP="008F74E0">
            <w:r w:rsidRPr="008F74E0">
              <w:t xml:space="preserve">En </w:t>
            </w:r>
            <w:proofErr w:type="spellStart"/>
            <w:r w:rsidRPr="008F74E0">
              <w:t>ligne</w:t>
            </w:r>
            <w:proofErr w:type="spellEnd"/>
          </w:p>
        </w:tc>
        <w:tc>
          <w:tcPr>
            <w:tcW w:w="22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299AA83A" w14:textId="77777777" w:rsidR="008F74E0" w:rsidRPr="008F74E0" w:rsidRDefault="008F74E0" w:rsidP="008F74E0">
            <w:pPr>
              <w:jc w:val="right"/>
            </w:pPr>
            <w:r w:rsidRPr="008F74E0">
              <w:t>6,619,931</w:t>
            </w:r>
          </w:p>
        </w:tc>
        <w:tc>
          <w:tcPr>
            <w:tcW w:w="2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D3490F6" w14:textId="77777777" w:rsidR="008F74E0" w:rsidRPr="008F74E0" w:rsidRDefault="008F74E0" w:rsidP="008F74E0">
            <w:pPr>
              <w:jc w:val="right"/>
            </w:pPr>
            <w:r w:rsidRPr="008F74E0">
              <w:t>142</w:t>
            </w:r>
          </w:p>
        </w:tc>
      </w:tr>
      <w:tr w:rsidR="008F74E0" w:rsidRPr="008F74E0" w14:paraId="7BE64737" w14:textId="77777777" w:rsidTr="008F74E0">
        <w:trPr>
          <w:trHeight w:val="38"/>
          <w:tblCellSpacing w:w="15" w:type="dxa"/>
        </w:trPr>
        <w:tc>
          <w:tcPr>
            <w:tcW w:w="1089" w:type="dxa"/>
            <w:vAlign w:val="center"/>
            <w:hideMark/>
          </w:tcPr>
          <w:p w14:paraId="1A4229A9" w14:textId="77777777" w:rsidR="008F74E0" w:rsidRPr="008F74E0" w:rsidRDefault="008F74E0" w:rsidP="008F74E0">
            <w:proofErr w:type="spellStart"/>
            <w:r w:rsidRPr="008F74E0">
              <w:t>Magasin</w:t>
            </w:r>
            <w:proofErr w:type="spellEnd"/>
          </w:p>
        </w:tc>
        <w:tc>
          <w:tcPr>
            <w:tcW w:w="2223" w:type="dxa"/>
            <w:tcBorders>
              <w:top w:val="nil"/>
              <w:left w:val="single" w:sz="12" w:space="0" w:color="auto"/>
              <w:bottom w:val="nil"/>
            </w:tcBorders>
            <w:vAlign w:val="center"/>
            <w:hideMark/>
          </w:tcPr>
          <w:p w14:paraId="7744FCE0" w14:textId="77777777" w:rsidR="008F74E0" w:rsidRPr="008F74E0" w:rsidRDefault="008F74E0" w:rsidP="008F74E0">
            <w:pPr>
              <w:jc w:val="right"/>
            </w:pPr>
            <w:r w:rsidRPr="008F74E0">
              <w:t>7,999,569</w:t>
            </w:r>
          </w:p>
        </w:tc>
        <w:tc>
          <w:tcPr>
            <w:tcW w:w="208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2CA61E54" w14:textId="77777777" w:rsidR="008F74E0" w:rsidRPr="008F74E0" w:rsidRDefault="008F74E0" w:rsidP="008F74E0">
            <w:pPr>
              <w:jc w:val="right"/>
            </w:pPr>
            <w:r w:rsidRPr="008F74E0">
              <w:t>298</w:t>
            </w:r>
          </w:p>
        </w:tc>
      </w:tr>
    </w:tbl>
    <w:p w14:paraId="03B0AB40" w14:textId="77777777" w:rsidR="008F74E0" w:rsidRDefault="008F74E0" w:rsidP="008F74E0">
      <w:pPr>
        <w:rPr>
          <w:lang w:val="fr-CA"/>
        </w:rPr>
      </w:pPr>
    </w:p>
    <w:p w14:paraId="195DEAB5" w14:textId="77777777" w:rsidR="00963637" w:rsidRPr="00963637" w:rsidRDefault="00963637" w:rsidP="00963637">
      <w:pPr>
        <w:rPr>
          <w:lang w:val="en-US"/>
        </w:rPr>
      </w:pPr>
      <w:r w:rsidRPr="00963637">
        <w:rPr>
          <w:lang w:val="en-US"/>
        </w:rPr>
        <w:t xml:space="preserve">Bien que les </w:t>
      </w:r>
      <w:proofErr w:type="spellStart"/>
      <w:r w:rsidRPr="00963637">
        <w:rPr>
          <w:lang w:val="en-US"/>
        </w:rPr>
        <w:t>magasins</w:t>
      </w:r>
      <w:proofErr w:type="spellEnd"/>
      <w:r w:rsidRPr="00963637">
        <w:rPr>
          <w:lang w:val="en-US"/>
        </w:rPr>
        <w:t xml:space="preserve"> physiques </w:t>
      </w:r>
      <w:proofErr w:type="spellStart"/>
      <w:r w:rsidRPr="00963637">
        <w:rPr>
          <w:lang w:val="en-US"/>
        </w:rPr>
        <w:t>génèrent</w:t>
      </w:r>
      <w:proofErr w:type="spellEnd"/>
      <w:r w:rsidRPr="00963637">
        <w:rPr>
          <w:lang w:val="en-US"/>
        </w:rPr>
        <w:t xml:space="preserve"> un volume de ventes plus important, les ventes </w:t>
      </w:r>
      <w:proofErr w:type="spellStart"/>
      <w:r w:rsidRPr="00963637">
        <w:rPr>
          <w:lang w:val="en-US"/>
        </w:rPr>
        <w:t>en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ligne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représentent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une</w:t>
      </w:r>
      <w:proofErr w:type="spellEnd"/>
      <w:r w:rsidRPr="00963637">
        <w:rPr>
          <w:lang w:val="en-US"/>
        </w:rPr>
        <w:t xml:space="preserve"> part significative du chiffre d'affaires, </w:t>
      </w:r>
      <w:proofErr w:type="spellStart"/>
      <w:r w:rsidRPr="00963637">
        <w:rPr>
          <w:lang w:val="en-US"/>
        </w:rPr>
        <w:t>justifiant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une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stratégie</w:t>
      </w:r>
      <w:proofErr w:type="spellEnd"/>
      <w:r w:rsidRPr="00963637">
        <w:rPr>
          <w:lang w:val="en-US"/>
        </w:rPr>
        <w:t xml:space="preserve"> de </w:t>
      </w:r>
      <w:proofErr w:type="spellStart"/>
      <w:r w:rsidRPr="00963637">
        <w:rPr>
          <w:lang w:val="en-US"/>
        </w:rPr>
        <w:t>renforcement</w:t>
      </w:r>
      <w:proofErr w:type="spellEnd"/>
      <w:r w:rsidRPr="00963637">
        <w:rPr>
          <w:lang w:val="en-US"/>
        </w:rPr>
        <w:t xml:space="preserve"> du commerce </w:t>
      </w:r>
      <w:proofErr w:type="spellStart"/>
      <w:r w:rsidRPr="00963637">
        <w:rPr>
          <w:lang w:val="en-US"/>
        </w:rPr>
        <w:t>en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ligne</w:t>
      </w:r>
      <w:proofErr w:type="spellEnd"/>
      <w:r w:rsidRPr="00963637">
        <w:rPr>
          <w:lang w:val="en-US"/>
        </w:rPr>
        <w:t>.</w:t>
      </w:r>
    </w:p>
    <w:p w14:paraId="505848B8" w14:textId="305E2540" w:rsidR="00072088" w:rsidRDefault="00000000" w:rsidP="008F74E0">
      <w:pPr>
        <w:rPr>
          <w:lang w:val="fr-CA"/>
        </w:rPr>
      </w:pPr>
      <w:r>
        <w:pict w14:anchorId="3D102B69">
          <v:rect id="_x0000_i1025" style="width:0;height:1.5pt" o:hralign="center" o:hrstd="t" o:hr="t" fillcolor="#a0a0a0" stroked="f"/>
        </w:pict>
      </w:r>
    </w:p>
    <w:p w14:paraId="5BA73E41" w14:textId="77777777" w:rsidR="00072088" w:rsidRDefault="00072088" w:rsidP="008F74E0">
      <w:pPr>
        <w:rPr>
          <w:lang w:val="fr-CA"/>
        </w:rPr>
      </w:pPr>
    </w:p>
    <w:p w14:paraId="6C9BF20C" w14:textId="77777777" w:rsidR="00072088" w:rsidRPr="00072088" w:rsidRDefault="00072088" w:rsidP="00072088">
      <w:pPr>
        <w:rPr>
          <w:b/>
          <w:bCs/>
          <w:lang w:val="fr-CA"/>
        </w:rPr>
      </w:pPr>
      <w:r w:rsidRPr="00072088">
        <w:rPr>
          <w:b/>
          <w:bCs/>
          <w:lang w:val="fr-CA"/>
        </w:rPr>
        <w:t>2. Analyse des Ventes par Produit</w:t>
      </w:r>
    </w:p>
    <w:p w14:paraId="07008155" w14:textId="77777777" w:rsidR="00963637" w:rsidRPr="00963637" w:rsidRDefault="00963637" w:rsidP="00963637">
      <w:pPr>
        <w:rPr>
          <w:lang w:val="en-US"/>
        </w:rPr>
      </w:pPr>
      <w:r w:rsidRPr="00963637">
        <w:rPr>
          <w:lang w:val="en-US"/>
        </w:rPr>
        <w:t xml:space="preserve">Le tableau ci-dessous </w:t>
      </w:r>
      <w:proofErr w:type="spellStart"/>
      <w:r w:rsidRPr="00963637">
        <w:rPr>
          <w:lang w:val="en-US"/>
        </w:rPr>
        <w:t>illustre</w:t>
      </w:r>
      <w:proofErr w:type="spellEnd"/>
      <w:r w:rsidRPr="00963637">
        <w:rPr>
          <w:lang w:val="en-US"/>
        </w:rPr>
        <w:t xml:space="preserve"> la </w:t>
      </w:r>
      <w:proofErr w:type="spellStart"/>
      <w:r w:rsidRPr="00963637">
        <w:rPr>
          <w:lang w:val="en-US"/>
        </w:rPr>
        <w:t>répartition</w:t>
      </w:r>
      <w:proofErr w:type="spellEnd"/>
      <w:r w:rsidRPr="00963637">
        <w:rPr>
          <w:lang w:val="en-US"/>
        </w:rPr>
        <w:t xml:space="preserve"> des ventes par </w:t>
      </w:r>
      <w:proofErr w:type="spellStart"/>
      <w:proofErr w:type="gramStart"/>
      <w:r w:rsidRPr="00963637">
        <w:rPr>
          <w:lang w:val="en-US"/>
        </w:rPr>
        <w:t>produit</w:t>
      </w:r>
      <w:proofErr w:type="spellEnd"/>
      <w:r w:rsidRPr="00963637">
        <w:rPr>
          <w:lang w:val="en-US"/>
        </w:rPr>
        <w:t xml:space="preserve"> :</w:t>
      </w:r>
      <w:proofErr w:type="gramEnd"/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827"/>
      </w:tblGrid>
      <w:tr w:rsidR="00072088" w:rsidRPr="00072088" w14:paraId="4304EA54" w14:textId="77777777" w:rsidTr="00072088">
        <w:trPr>
          <w:tblHeader/>
          <w:tblCellSpacing w:w="15" w:type="dxa"/>
        </w:trPr>
        <w:tc>
          <w:tcPr>
            <w:tcW w:w="23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1F83EE" w14:textId="77777777" w:rsidR="00072088" w:rsidRPr="00072088" w:rsidRDefault="00072088" w:rsidP="00072088">
            <w:pPr>
              <w:rPr>
                <w:b/>
                <w:bCs/>
              </w:rPr>
            </w:pPr>
            <w:proofErr w:type="spellStart"/>
            <w:r w:rsidRPr="00072088">
              <w:rPr>
                <w:b/>
                <w:bCs/>
              </w:rPr>
              <w:t>Produit</w:t>
            </w:r>
            <w:proofErr w:type="spellEnd"/>
          </w:p>
        </w:tc>
        <w:tc>
          <w:tcPr>
            <w:tcW w:w="3782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751508F1" w14:textId="77777777" w:rsidR="00072088" w:rsidRPr="00072088" w:rsidRDefault="00072088" w:rsidP="00072088">
            <w:pPr>
              <w:rPr>
                <w:b/>
                <w:bCs/>
              </w:rPr>
            </w:pPr>
            <w:r w:rsidRPr="00072088">
              <w:rPr>
                <w:b/>
                <w:bCs/>
              </w:rPr>
              <w:t>Total des Ventes</w:t>
            </w:r>
          </w:p>
        </w:tc>
      </w:tr>
      <w:tr w:rsidR="00072088" w:rsidRPr="00072088" w14:paraId="1303E00D" w14:textId="77777777" w:rsidTr="00072088">
        <w:trPr>
          <w:tblCellSpacing w:w="15" w:type="dxa"/>
        </w:trPr>
        <w:tc>
          <w:tcPr>
            <w:tcW w:w="23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9E7E32" w14:textId="77777777" w:rsidR="00072088" w:rsidRPr="00072088" w:rsidRDefault="00072088" w:rsidP="00072088">
            <w:r w:rsidRPr="00072088">
              <w:t>Robusta</w:t>
            </w:r>
          </w:p>
        </w:tc>
        <w:tc>
          <w:tcPr>
            <w:tcW w:w="3782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115C0A4D" w14:textId="77777777" w:rsidR="00072088" w:rsidRPr="00072088" w:rsidRDefault="00072088" w:rsidP="00072088">
            <w:pPr>
              <w:jc w:val="right"/>
            </w:pPr>
            <w:r w:rsidRPr="00072088">
              <w:t>5,280,131</w:t>
            </w:r>
          </w:p>
        </w:tc>
      </w:tr>
      <w:tr w:rsidR="00072088" w:rsidRPr="00072088" w14:paraId="65FDF277" w14:textId="77777777" w:rsidTr="00072088">
        <w:trPr>
          <w:tblCellSpacing w:w="15" w:type="dxa"/>
        </w:trPr>
        <w:tc>
          <w:tcPr>
            <w:tcW w:w="23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B70F6B" w14:textId="77777777" w:rsidR="00072088" w:rsidRPr="00072088" w:rsidRDefault="00072088" w:rsidP="00072088">
            <w:r w:rsidRPr="00072088">
              <w:lastRenderedPageBreak/>
              <w:t>Arabica</w:t>
            </w:r>
          </w:p>
        </w:tc>
        <w:tc>
          <w:tcPr>
            <w:tcW w:w="3782" w:type="dxa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07D7344C" w14:textId="77777777" w:rsidR="00072088" w:rsidRPr="00072088" w:rsidRDefault="00072088" w:rsidP="00072088">
            <w:pPr>
              <w:jc w:val="right"/>
            </w:pPr>
            <w:r w:rsidRPr="00072088">
              <w:t>2,553,357</w:t>
            </w:r>
          </w:p>
        </w:tc>
      </w:tr>
      <w:tr w:rsidR="00072088" w:rsidRPr="00072088" w14:paraId="40264BB6" w14:textId="77777777" w:rsidTr="00072088">
        <w:trPr>
          <w:tblCellSpacing w:w="15" w:type="dxa"/>
        </w:trPr>
        <w:tc>
          <w:tcPr>
            <w:tcW w:w="23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4BBB89" w14:textId="77777777" w:rsidR="00072088" w:rsidRPr="00072088" w:rsidRDefault="00072088" w:rsidP="00072088">
            <w:r w:rsidRPr="00072088">
              <w:t>Espresso</w:t>
            </w:r>
          </w:p>
        </w:tc>
        <w:tc>
          <w:tcPr>
            <w:tcW w:w="3782" w:type="dxa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26665DB9" w14:textId="77777777" w:rsidR="00072088" w:rsidRPr="00072088" w:rsidRDefault="00072088" w:rsidP="00072088">
            <w:pPr>
              <w:jc w:val="right"/>
            </w:pPr>
            <w:r w:rsidRPr="00072088">
              <w:t>3,498,562</w:t>
            </w:r>
          </w:p>
        </w:tc>
      </w:tr>
      <w:tr w:rsidR="00072088" w:rsidRPr="00072088" w14:paraId="2DBE1BA2" w14:textId="77777777" w:rsidTr="00072088">
        <w:trPr>
          <w:tblCellSpacing w:w="15" w:type="dxa"/>
        </w:trPr>
        <w:tc>
          <w:tcPr>
            <w:tcW w:w="23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33663A" w14:textId="77777777" w:rsidR="00072088" w:rsidRPr="00072088" w:rsidRDefault="00072088" w:rsidP="00072088">
            <w:r w:rsidRPr="00072088">
              <w:t>Lungo</w:t>
            </w:r>
          </w:p>
        </w:tc>
        <w:tc>
          <w:tcPr>
            <w:tcW w:w="3782" w:type="dxa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06E58223" w14:textId="77777777" w:rsidR="00072088" w:rsidRPr="00072088" w:rsidRDefault="00072088" w:rsidP="00072088">
            <w:pPr>
              <w:jc w:val="right"/>
            </w:pPr>
            <w:r w:rsidRPr="00072088">
              <w:t>1,351,650</w:t>
            </w:r>
          </w:p>
        </w:tc>
      </w:tr>
      <w:tr w:rsidR="00072088" w:rsidRPr="00072088" w14:paraId="2CEC23BF" w14:textId="77777777" w:rsidTr="00072088">
        <w:trPr>
          <w:tblCellSpacing w:w="15" w:type="dxa"/>
        </w:trPr>
        <w:tc>
          <w:tcPr>
            <w:tcW w:w="23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36E20D" w14:textId="77777777" w:rsidR="00072088" w:rsidRPr="00072088" w:rsidRDefault="00072088" w:rsidP="00072088">
            <w:r w:rsidRPr="00072088">
              <w:t>Latte</w:t>
            </w:r>
          </w:p>
        </w:tc>
        <w:tc>
          <w:tcPr>
            <w:tcW w:w="3782" w:type="dxa"/>
            <w:tcBorders>
              <w:top w:val="nil"/>
              <w:bottom w:val="single" w:sz="12" w:space="0" w:color="auto"/>
            </w:tcBorders>
            <w:vAlign w:val="center"/>
            <w:hideMark/>
          </w:tcPr>
          <w:p w14:paraId="618B0282" w14:textId="77777777" w:rsidR="00072088" w:rsidRPr="00072088" w:rsidRDefault="00072088" w:rsidP="00072088">
            <w:pPr>
              <w:jc w:val="right"/>
            </w:pPr>
            <w:r w:rsidRPr="00072088">
              <w:t>1,267,857</w:t>
            </w:r>
          </w:p>
        </w:tc>
      </w:tr>
      <w:tr w:rsidR="00072088" w:rsidRPr="00072088" w14:paraId="67D846F8" w14:textId="77777777" w:rsidTr="00072088">
        <w:trPr>
          <w:tblCellSpacing w:w="15" w:type="dxa"/>
        </w:trPr>
        <w:tc>
          <w:tcPr>
            <w:tcW w:w="236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A242D27" w14:textId="77777777" w:rsidR="00072088" w:rsidRPr="00072088" w:rsidRDefault="00072088" w:rsidP="00072088">
            <w:r w:rsidRPr="00072088">
              <w:t>Cappuccino</w:t>
            </w:r>
          </w:p>
        </w:tc>
        <w:tc>
          <w:tcPr>
            <w:tcW w:w="3782" w:type="dxa"/>
            <w:vAlign w:val="center"/>
            <w:hideMark/>
          </w:tcPr>
          <w:p w14:paraId="58E5180B" w14:textId="77777777" w:rsidR="00072088" w:rsidRPr="00072088" w:rsidRDefault="00072088" w:rsidP="00072088">
            <w:pPr>
              <w:jc w:val="right"/>
            </w:pPr>
            <w:r w:rsidRPr="00072088">
              <w:t>670,943</w:t>
            </w:r>
          </w:p>
        </w:tc>
      </w:tr>
    </w:tbl>
    <w:p w14:paraId="29E9D0C6" w14:textId="77777777" w:rsidR="00072088" w:rsidRDefault="00072088" w:rsidP="00072088">
      <w:pPr>
        <w:rPr>
          <w:lang w:val="fr-CA"/>
        </w:rPr>
      </w:pPr>
    </w:p>
    <w:p w14:paraId="071115B8" w14:textId="77777777" w:rsidR="00963637" w:rsidRPr="00963637" w:rsidRDefault="00963637" w:rsidP="00963637">
      <w:pPr>
        <w:tabs>
          <w:tab w:val="left" w:pos="3696"/>
        </w:tabs>
        <w:rPr>
          <w:lang w:val="en-US"/>
        </w:rPr>
      </w:pPr>
      <w:r w:rsidRPr="00963637">
        <w:rPr>
          <w:lang w:val="en-US"/>
        </w:rPr>
        <w:t xml:space="preserve">Les ventes les plus </w:t>
      </w:r>
      <w:proofErr w:type="spellStart"/>
      <w:r w:rsidRPr="00963637">
        <w:rPr>
          <w:lang w:val="en-US"/>
        </w:rPr>
        <w:t>élevées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concernent</w:t>
      </w:r>
      <w:proofErr w:type="spellEnd"/>
      <w:r w:rsidRPr="00963637">
        <w:rPr>
          <w:lang w:val="en-US"/>
        </w:rPr>
        <w:t xml:space="preserve"> le Robusta et </w:t>
      </w:r>
      <w:proofErr w:type="spellStart"/>
      <w:r w:rsidRPr="00963637">
        <w:rPr>
          <w:lang w:val="en-US"/>
        </w:rPr>
        <w:t>l'Espresso</w:t>
      </w:r>
      <w:proofErr w:type="spellEnd"/>
      <w:r w:rsidRPr="00963637">
        <w:rPr>
          <w:lang w:val="en-US"/>
        </w:rPr>
        <w:t xml:space="preserve">, </w:t>
      </w:r>
      <w:proofErr w:type="spellStart"/>
      <w:r w:rsidRPr="00963637">
        <w:rPr>
          <w:lang w:val="en-US"/>
        </w:rPr>
        <w:t>tandis</w:t>
      </w:r>
      <w:proofErr w:type="spellEnd"/>
      <w:r w:rsidRPr="00963637">
        <w:rPr>
          <w:lang w:val="en-US"/>
        </w:rPr>
        <w:t xml:space="preserve"> que les </w:t>
      </w:r>
      <w:proofErr w:type="spellStart"/>
      <w:r w:rsidRPr="00963637">
        <w:rPr>
          <w:lang w:val="en-US"/>
        </w:rPr>
        <w:t>produits</w:t>
      </w:r>
      <w:proofErr w:type="spellEnd"/>
      <w:r w:rsidRPr="00963637">
        <w:rPr>
          <w:lang w:val="en-US"/>
        </w:rPr>
        <w:t xml:space="preserve"> Lungo, Latte et Cappuccino </w:t>
      </w:r>
      <w:proofErr w:type="spellStart"/>
      <w:r w:rsidRPr="00963637">
        <w:rPr>
          <w:lang w:val="en-US"/>
        </w:rPr>
        <w:t>enregistrent</w:t>
      </w:r>
      <w:proofErr w:type="spellEnd"/>
      <w:r w:rsidRPr="00963637">
        <w:rPr>
          <w:lang w:val="en-US"/>
        </w:rPr>
        <w:t xml:space="preserve"> des chiffres plus </w:t>
      </w:r>
      <w:proofErr w:type="spellStart"/>
      <w:r w:rsidRPr="00963637">
        <w:rPr>
          <w:lang w:val="en-US"/>
        </w:rPr>
        <w:t>modestes</w:t>
      </w:r>
      <w:proofErr w:type="spellEnd"/>
      <w:r w:rsidRPr="00963637">
        <w:rPr>
          <w:lang w:val="en-US"/>
        </w:rPr>
        <w:t xml:space="preserve">, </w:t>
      </w:r>
      <w:proofErr w:type="spellStart"/>
      <w:r w:rsidRPr="00963637">
        <w:rPr>
          <w:lang w:val="en-US"/>
        </w:rPr>
        <w:t>offrant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ainsi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une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opportunité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d'amélioration</w:t>
      </w:r>
      <w:proofErr w:type="spellEnd"/>
      <w:r w:rsidRPr="00963637">
        <w:rPr>
          <w:lang w:val="en-US"/>
        </w:rPr>
        <w:t>.</w:t>
      </w:r>
    </w:p>
    <w:p w14:paraId="372C0481" w14:textId="77777777" w:rsidR="00072088" w:rsidRPr="00072088" w:rsidRDefault="00000000" w:rsidP="00072088">
      <w:pPr>
        <w:tabs>
          <w:tab w:val="left" w:pos="3696"/>
        </w:tabs>
      </w:pPr>
      <w:r>
        <w:pict w14:anchorId="0E1DC12C">
          <v:rect id="_x0000_i1026" style="width:0;height:1.5pt" o:hralign="center" o:hrstd="t" o:hr="t" fillcolor="#a0a0a0" stroked="f"/>
        </w:pict>
      </w:r>
    </w:p>
    <w:p w14:paraId="438AED61" w14:textId="77777777" w:rsidR="00072088" w:rsidRDefault="00072088" w:rsidP="00072088">
      <w:pPr>
        <w:tabs>
          <w:tab w:val="left" w:pos="3696"/>
        </w:tabs>
        <w:rPr>
          <w:b/>
          <w:bCs/>
          <w:lang w:val="fr-CA"/>
        </w:rPr>
      </w:pPr>
    </w:p>
    <w:p w14:paraId="72533C1F" w14:textId="1C92B733" w:rsidR="00072088" w:rsidRPr="00072088" w:rsidRDefault="00072088" w:rsidP="00072088">
      <w:pPr>
        <w:tabs>
          <w:tab w:val="left" w:pos="3696"/>
        </w:tabs>
        <w:rPr>
          <w:b/>
          <w:bCs/>
          <w:lang w:val="fr-CA"/>
        </w:rPr>
      </w:pPr>
      <w:r w:rsidRPr="00072088">
        <w:rPr>
          <w:b/>
          <w:bCs/>
          <w:lang w:val="fr-CA"/>
        </w:rPr>
        <w:t>3. Analyse des Ventes par Région</w:t>
      </w:r>
    </w:p>
    <w:p w14:paraId="663896A2" w14:textId="77777777" w:rsidR="00963637" w:rsidRPr="00963637" w:rsidRDefault="00963637" w:rsidP="00963637">
      <w:pPr>
        <w:tabs>
          <w:tab w:val="left" w:pos="3696"/>
        </w:tabs>
        <w:rPr>
          <w:b/>
          <w:bCs/>
          <w:lang w:val="en-US"/>
        </w:rPr>
      </w:pPr>
      <w:proofErr w:type="spellStart"/>
      <w:r w:rsidRPr="00963637">
        <w:rPr>
          <w:b/>
          <w:bCs/>
          <w:lang w:val="en-US"/>
        </w:rPr>
        <w:t>L'analyse</w:t>
      </w:r>
      <w:proofErr w:type="spellEnd"/>
      <w:r w:rsidRPr="00963637">
        <w:rPr>
          <w:b/>
          <w:bCs/>
          <w:lang w:val="en-US"/>
        </w:rPr>
        <w:t xml:space="preserve"> </w:t>
      </w:r>
      <w:proofErr w:type="spellStart"/>
      <w:r w:rsidRPr="00963637">
        <w:rPr>
          <w:b/>
          <w:bCs/>
          <w:lang w:val="en-US"/>
        </w:rPr>
        <w:t>régionale</w:t>
      </w:r>
      <w:proofErr w:type="spellEnd"/>
      <w:r w:rsidRPr="00963637">
        <w:rPr>
          <w:b/>
          <w:bCs/>
          <w:lang w:val="en-US"/>
        </w:rPr>
        <w:t xml:space="preserve"> met </w:t>
      </w:r>
      <w:proofErr w:type="spellStart"/>
      <w:r w:rsidRPr="00963637">
        <w:rPr>
          <w:b/>
          <w:bCs/>
          <w:lang w:val="en-US"/>
        </w:rPr>
        <w:t>en</w:t>
      </w:r>
      <w:proofErr w:type="spellEnd"/>
      <w:r w:rsidRPr="00963637">
        <w:rPr>
          <w:b/>
          <w:bCs/>
          <w:lang w:val="en-US"/>
        </w:rPr>
        <w:t xml:space="preserve"> </w:t>
      </w:r>
      <w:proofErr w:type="spellStart"/>
      <w:r w:rsidRPr="00963637">
        <w:rPr>
          <w:b/>
          <w:bCs/>
          <w:lang w:val="en-US"/>
        </w:rPr>
        <w:t>évidence</w:t>
      </w:r>
      <w:proofErr w:type="spellEnd"/>
      <w:r w:rsidRPr="00963637">
        <w:rPr>
          <w:b/>
          <w:bCs/>
          <w:lang w:val="en-US"/>
        </w:rPr>
        <w:t xml:space="preserve"> les tendances </w:t>
      </w:r>
      <w:proofErr w:type="spellStart"/>
      <w:proofErr w:type="gramStart"/>
      <w:r w:rsidRPr="00963637">
        <w:rPr>
          <w:b/>
          <w:bCs/>
          <w:lang w:val="en-US"/>
        </w:rPr>
        <w:t>suivantes</w:t>
      </w:r>
      <w:proofErr w:type="spellEnd"/>
      <w:r w:rsidRPr="00963637">
        <w:rPr>
          <w:b/>
          <w:bCs/>
          <w:lang w:val="en-US"/>
        </w:rPr>
        <w:t xml:space="preserve"> :</w:t>
      </w:r>
      <w:proofErr w:type="gramEnd"/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4678"/>
      </w:tblGrid>
      <w:tr w:rsidR="00072088" w:rsidRPr="00072088" w14:paraId="321B4631" w14:textId="77777777" w:rsidTr="00072088">
        <w:trPr>
          <w:tblHeader/>
          <w:tblCellSpacing w:w="15" w:type="dxa"/>
        </w:trPr>
        <w:tc>
          <w:tcPr>
            <w:tcW w:w="2492" w:type="dxa"/>
            <w:vAlign w:val="center"/>
            <w:hideMark/>
          </w:tcPr>
          <w:p w14:paraId="05A9823A" w14:textId="77777777" w:rsidR="00072088" w:rsidRPr="00072088" w:rsidRDefault="00072088" w:rsidP="00072088">
            <w:pPr>
              <w:tabs>
                <w:tab w:val="left" w:pos="3696"/>
              </w:tabs>
              <w:rPr>
                <w:b/>
                <w:bCs/>
              </w:rPr>
            </w:pPr>
            <w:proofErr w:type="spellStart"/>
            <w:r w:rsidRPr="00072088">
              <w:rPr>
                <w:b/>
                <w:bCs/>
              </w:rPr>
              <w:t>Région</w:t>
            </w:r>
            <w:proofErr w:type="spellEnd"/>
          </w:p>
        </w:tc>
        <w:tc>
          <w:tcPr>
            <w:tcW w:w="4633" w:type="dxa"/>
            <w:vAlign w:val="center"/>
            <w:hideMark/>
          </w:tcPr>
          <w:p w14:paraId="52F59328" w14:textId="77777777" w:rsidR="00072088" w:rsidRPr="00072088" w:rsidRDefault="00072088" w:rsidP="00072088">
            <w:pPr>
              <w:tabs>
                <w:tab w:val="left" w:pos="3696"/>
              </w:tabs>
              <w:rPr>
                <w:b/>
                <w:bCs/>
              </w:rPr>
            </w:pPr>
            <w:r w:rsidRPr="00072088">
              <w:rPr>
                <w:b/>
                <w:bCs/>
              </w:rPr>
              <w:t>Total des Ventes</w:t>
            </w:r>
          </w:p>
        </w:tc>
      </w:tr>
      <w:tr w:rsidR="00072088" w:rsidRPr="00072088" w14:paraId="75A532E8" w14:textId="77777777" w:rsidTr="00072088">
        <w:trPr>
          <w:tblCellSpacing w:w="15" w:type="dxa"/>
        </w:trPr>
        <w:tc>
          <w:tcPr>
            <w:tcW w:w="2492" w:type="dxa"/>
            <w:vAlign w:val="center"/>
            <w:hideMark/>
          </w:tcPr>
          <w:p w14:paraId="5B60856A" w14:textId="77777777" w:rsidR="00072088" w:rsidRPr="00072088" w:rsidRDefault="00072088" w:rsidP="00072088">
            <w:pPr>
              <w:tabs>
                <w:tab w:val="left" w:pos="3696"/>
              </w:tabs>
              <w:rPr>
                <w:b/>
                <w:bCs/>
              </w:rPr>
            </w:pPr>
            <w:r w:rsidRPr="00072088">
              <w:rPr>
                <w:b/>
                <w:bCs/>
              </w:rPr>
              <w:t>Centrale</w:t>
            </w:r>
          </w:p>
        </w:tc>
        <w:tc>
          <w:tcPr>
            <w:tcW w:w="4633" w:type="dxa"/>
            <w:tcBorders>
              <w:right w:val="nil"/>
            </w:tcBorders>
            <w:vAlign w:val="center"/>
            <w:hideMark/>
          </w:tcPr>
          <w:p w14:paraId="20EB1584" w14:textId="77777777" w:rsidR="00072088" w:rsidRPr="00072088" w:rsidRDefault="00072088" w:rsidP="00072088">
            <w:pPr>
              <w:tabs>
                <w:tab w:val="left" w:pos="3696"/>
              </w:tabs>
              <w:jc w:val="right"/>
              <w:rPr>
                <w:b/>
                <w:bCs/>
              </w:rPr>
            </w:pPr>
            <w:r w:rsidRPr="00072088">
              <w:rPr>
                <w:b/>
                <w:bCs/>
              </w:rPr>
              <w:t>1,555,088</w:t>
            </w:r>
          </w:p>
        </w:tc>
      </w:tr>
      <w:tr w:rsidR="00072088" w:rsidRPr="00072088" w14:paraId="14BA7653" w14:textId="77777777" w:rsidTr="00072088">
        <w:trPr>
          <w:tblCellSpacing w:w="15" w:type="dxa"/>
        </w:trPr>
        <w:tc>
          <w:tcPr>
            <w:tcW w:w="2492" w:type="dxa"/>
            <w:vAlign w:val="center"/>
            <w:hideMark/>
          </w:tcPr>
          <w:p w14:paraId="5D9ED2D5" w14:textId="77777777" w:rsidR="00072088" w:rsidRPr="00072088" w:rsidRDefault="00072088" w:rsidP="00072088">
            <w:pPr>
              <w:tabs>
                <w:tab w:val="left" w:pos="3696"/>
              </w:tabs>
              <w:rPr>
                <w:b/>
                <w:bCs/>
              </w:rPr>
            </w:pPr>
            <w:r w:rsidRPr="00072088">
              <w:rPr>
                <w:b/>
                <w:bCs/>
              </w:rPr>
              <w:t>Nord</w:t>
            </w:r>
          </w:p>
        </w:tc>
        <w:tc>
          <w:tcPr>
            <w:tcW w:w="463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10B2C97" w14:textId="77777777" w:rsidR="00072088" w:rsidRPr="00072088" w:rsidRDefault="00072088" w:rsidP="00072088">
            <w:pPr>
              <w:tabs>
                <w:tab w:val="left" w:pos="3696"/>
              </w:tabs>
              <w:jc w:val="right"/>
              <w:rPr>
                <w:b/>
                <w:bCs/>
              </w:rPr>
            </w:pPr>
            <w:r w:rsidRPr="00072088">
              <w:rPr>
                <w:b/>
                <w:bCs/>
              </w:rPr>
              <w:t>2,386,813</w:t>
            </w:r>
          </w:p>
        </w:tc>
      </w:tr>
      <w:tr w:rsidR="00072088" w:rsidRPr="00072088" w14:paraId="06C50C11" w14:textId="77777777" w:rsidTr="00072088">
        <w:trPr>
          <w:tblCellSpacing w:w="15" w:type="dxa"/>
        </w:trPr>
        <w:tc>
          <w:tcPr>
            <w:tcW w:w="2492" w:type="dxa"/>
            <w:vAlign w:val="center"/>
            <w:hideMark/>
          </w:tcPr>
          <w:p w14:paraId="5059FCFB" w14:textId="77777777" w:rsidR="00072088" w:rsidRPr="00072088" w:rsidRDefault="00072088" w:rsidP="00072088">
            <w:pPr>
              <w:tabs>
                <w:tab w:val="left" w:pos="3696"/>
              </w:tabs>
              <w:rPr>
                <w:b/>
                <w:bCs/>
              </w:rPr>
            </w:pPr>
            <w:r w:rsidRPr="00072088">
              <w:rPr>
                <w:b/>
                <w:bCs/>
              </w:rPr>
              <w:t>Sud</w:t>
            </w:r>
          </w:p>
        </w:tc>
        <w:tc>
          <w:tcPr>
            <w:tcW w:w="4633" w:type="dxa"/>
            <w:tcBorders>
              <w:bottom w:val="nil"/>
              <w:right w:val="nil"/>
            </w:tcBorders>
            <w:vAlign w:val="center"/>
            <w:hideMark/>
          </w:tcPr>
          <w:p w14:paraId="274B172E" w14:textId="77777777" w:rsidR="00072088" w:rsidRPr="00072088" w:rsidRDefault="00072088" w:rsidP="00072088">
            <w:pPr>
              <w:tabs>
                <w:tab w:val="left" w:pos="3696"/>
              </w:tabs>
              <w:jc w:val="right"/>
              <w:rPr>
                <w:b/>
                <w:bCs/>
              </w:rPr>
            </w:pPr>
            <w:r w:rsidRPr="00072088">
              <w:rPr>
                <w:b/>
                <w:bCs/>
              </w:rPr>
              <w:t>10,677,599</w:t>
            </w:r>
          </w:p>
        </w:tc>
      </w:tr>
    </w:tbl>
    <w:p w14:paraId="4FF9546B" w14:textId="77777777" w:rsidR="00072088" w:rsidRDefault="00072088" w:rsidP="00072088">
      <w:pPr>
        <w:tabs>
          <w:tab w:val="left" w:pos="3696"/>
        </w:tabs>
        <w:rPr>
          <w:b/>
          <w:bCs/>
          <w:lang w:val="fr-CA"/>
        </w:rPr>
      </w:pPr>
    </w:p>
    <w:p w14:paraId="2F2926E4" w14:textId="21FB83E0" w:rsidR="00072088" w:rsidRPr="00963637" w:rsidRDefault="00963637" w:rsidP="00963637">
      <w:pPr>
        <w:tabs>
          <w:tab w:val="left" w:pos="3696"/>
        </w:tabs>
        <w:rPr>
          <w:lang w:val="en-US"/>
        </w:rPr>
      </w:pPr>
      <w:r w:rsidRPr="00963637">
        <w:rPr>
          <w:b/>
          <w:bCs/>
          <w:lang w:val="fr-CA"/>
        </w:rPr>
        <w:t>La région Sud est la plus performante, suivie par le Nord et la région Centrale. Ces différences peuvent s'expliquer par des variations de densité de population et de comportements d'achat.</w:t>
      </w:r>
    </w:p>
    <w:p w14:paraId="58C5CB8C" w14:textId="77777777" w:rsidR="00072088" w:rsidRDefault="00000000" w:rsidP="00072088">
      <w:pPr>
        <w:tabs>
          <w:tab w:val="left" w:pos="3696"/>
        </w:tabs>
      </w:pPr>
      <w:r>
        <w:pict w14:anchorId="26886DDB">
          <v:rect id="_x0000_i1027" style="width:0;height:1.5pt" o:hralign="center" o:hrstd="t" o:hr="t" fillcolor="#a0a0a0" stroked="f"/>
        </w:pict>
      </w:r>
    </w:p>
    <w:p w14:paraId="7CD0541E" w14:textId="77777777" w:rsidR="00764577" w:rsidRDefault="00764577" w:rsidP="00072088">
      <w:pPr>
        <w:tabs>
          <w:tab w:val="left" w:pos="3696"/>
        </w:tabs>
      </w:pPr>
    </w:p>
    <w:p w14:paraId="19F4CB4C" w14:textId="77777777" w:rsidR="00764577" w:rsidRPr="00764577" w:rsidRDefault="00764577" w:rsidP="00764577">
      <w:pPr>
        <w:tabs>
          <w:tab w:val="left" w:pos="3696"/>
        </w:tabs>
        <w:rPr>
          <w:b/>
          <w:bCs/>
        </w:rPr>
      </w:pPr>
      <w:proofErr w:type="spellStart"/>
      <w:r w:rsidRPr="00764577">
        <w:rPr>
          <w:b/>
          <w:bCs/>
        </w:rPr>
        <w:t>Recommandations</w:t>
      </w:r>
      <w:proofErr w:type="spellEnd"/>
    </w:p>
    <w:p w14:paraId="14B11747" w14:textId="77777777" w:rsidR="00963637" w:rsidRPr="00963637" w:rsidRDefault="00963637" w:rsidP="00963637">
      <w:pPr>
        <w:numPr>
          <w:ilvl w:val="0"/>
          <w:numId w:val="2"/>
        </w:numPr>
        <w:tabs>
          <w:tab w:val="left" w:pos="3696"/>
        </w:tabs>
        <w:rPr>
          <w:b/>
          <w:bCs/>
          <w:lang w:val="en-US"/>
        </w:rPr>
      </w:pPr>
      <w:proofErr w:type="spellStart"/>
      <w:r w:rsidRPr="00963637">
        <w:rPr>
          <w:b/>
          <w:bCs/>
          <w:lang w:val="en-US"/>
        </w:rPr>
        <w:lastRenderedPageBreak/>
        <w:t>Renforcer</w:t>
      </w:r>
      <w:proofErr w:type="spellEnd"/>
      <w:r w:rsidRPr="00963637">
        <w:rPr>
          <w:b/>
          <w:bCs/>
          <w:lang w:val="en-US"/>
        </w:rPr>
        <w:t xml:space="preserve"> la </w:t>
      </w:r>
      <w:proofErr w:type="spellStart"/>
      <w:r w:rsidRPr="00963637">
        <w:rPr>
          <w:b/>
          <w:bCs/>
          <w:lang w:val="en-US"/>
        </w:rPr>
        <w:t>Stratégie</w:t>
      </w:r>
      <w:proofErr w:type="spellEnd"/>
      <w:r w:rsidRPr="00963637">
        <w:rPr>
          <w:b/>
          <w:bCs/>
          <w:lang w:val="en-US"/>
        </w:rPr>
        <w:t xml:space="preserve"> </w:t>
      </w:r>
      <w:proofErr w:type="spellStart"/>
      <w:r w:rsidRPr="00963637">
        <w:rPr>
          <w:b/>
          <w:bCs/>
          <w:lang w:val="en-US"/>
        </w:rPr>
        <w:t>en</w:t>
      </w:r>
      <w:proofErr w:type="spellEnd"/>
      <w:r w:rsidRPr="00963637">
        <w:rPr>
          <w:b/>
          <w:bCs/>
          <w:lang w:val="en-US"/>
        </w:rPr>
        <w:t xml:space="preserve"> </w:t>
      </w:r>
      <w:proofErr w:type="spellStart"/>
      <w:proofErr w:type="gramStart"/>
      <w:r w:rsidRPr="00963637">
        <w:rPr>
          <w:b/>
          <w:bCs/>
          <w:lang w:val="en-US"/>
        </w:rPr>
        <w:t>Magasin</w:t>
      </w:r>
      <w:proofErr w:type="spellEnd"/>
      <w:r w:rsidRPr="00963637">
        <w:rPr>
          <w:b/>
          <w:bCs/>
          <w:lang w:val="en-US"/>
        </w:rPr>
        <w:t xml:space="preserve"> :</w:t>
      </w:r>
      <w:proofErr w:type="gramEnd"/>
      <w:r w:rsidRPr="00963637">
        <w:rPr>
          <w:b/>
          <w:bCs/>
          <w:lang w:val="en-US"/>
        </w:rPr>
        <w:t xml:space="preserve"> </w:t>
      </w:r>
      <w:proofErr w:type="spellStart"/>
      <w:r w:rsidRPr="00963637">
        <w:rPr>
          <w:lang w:val="en-US"/>
        </w:rPr>
        <w:t>Optimiser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l'expérience</w:t>
      </w:r>
      <w:proofErr w:type="spellEnd"/>
      <w:r w:rsidRPr="00963637">
        <w:rPr>
          <w:lang w:val="en-US"/>
        </w:rPr>
        <w:t xml:space="preserve"> client </w:t>
      </w:r>
      <w:proofErr w:type="spellStart"/>
      <w:r w:rsidRPr="00963637">
        <w:rPr>
          <w:lang w:val="en-US"/>
        </w:rPr>
        <w:t>en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magasin</w:t>
      </w:r>
      <w:proofErr w:type="spellEnd"/>
      <w:r w:rsidRPr="00963637">
        <w:rPr>
          <w:lang w:val="en-US"/>
        </w:rPr>
        <w:t xml:space="preserve"> pour </w:t>
      </w:r>
      <w:proofErr w:type="spellStart"/>
      <w:r w:rsidRPr="00963637">
        <w:rPr>
          <w:lang w:val="en-US"/>
        </w:rPr>
        <w:t>maintenir</w:t>
      </w:r>
      <w:proofErr w:type="spellEnd"/>
      <w:r w:rsidRPr="00963637">
        <w:rPr>
          <w:lang w:val="en-US"/>
        </w:rPr>
        <w:t xml:space="preserve"> la </w:t>
      </w:r>
      <w:proofErr w:type="spellStart"/>
      <w:r w:rsidRPr="00963637">
        <w:rPr>
          <w:lang w:val="en-US"/>
        </w:rPr>
        <w:t>prépondérance</w:t>
      </w:r>
      <w:proofErr w:type="spellEnd"/>
      <w:r w:rsidRPr="00963637">
        <w:rPr>
          <w:lang w:val="en-US"/>
        </w:rPr>
        <w:t xml:space="preserve"> des ventes physiques.</w:t>
      </w:r>
    </w:p>
    <w:p w14:paraId="68D6C29A" w14:textId="77777777" w:rsidR="00963637" w:rsidRPr="00963637" w:rsidRDefault="00963637" w:rsidP="00963637">
      <w:pPr>
        <w:numPr>
          <w:ilvl w:val="0"/>
          <w:numId w:val="2"/>
        </w:numPr>
        <w:tabs>
          <w:tab w:val="left" w:pos="3696"/>
        </w:tabs>
        <w:rPr>
          <w:b/>
          <w:bCs/>
          <w:lang w:val="en-US"/>
        </w:rPr>
      </w:pPr>
      <w:r w:rsidRPr="00963637">
        <w:rPr>
          <w:b/>
          <w:bCs/>
          <w:lang w:val="en-US"/>
        </w:rPr>
        <w:t xml:space="preserve">Augmenter la Promotion des Ventes </w:t>
      </w:r>
      <w:proofErr w:type="spellStart"/>
      <w:r w:rsidRPr="00963637">
        <w:rPr>
          <w:b/>
          <w:bCs/>
          <w:lang w:val="en-US"/>
        </w:rPr>
        <w:t>en</w:t>
      </w:r>
      <w:proofErr w:type="spellEnd"/>
      <w:r w:rsidRPr="00963637">
        <w:rPr>
          <w:b/>
          <w:bCs/>
          <w:lang w:val="en-US"/>
        </w:rPr>
        <w:t xml:space="preserve"> </w:t>
      </w:r>
      <w:proofErr w:type="gramStart"/>
      <w:r w:rsidRPr="00963637">
        <w:rPr>
          <w:b/>
          <w:bCs/>
          <w:lang w:val="en-US"/>
        </w:rPr>
        <w:t xml:space="preserve">Ligne </w:t>
      </w:r>
      <w:r w:rsidRPr="00963637">
        <w:rPr>
          <w:lang w:val="en-US"/>
        </w:rPr>
        <w:t>:</w:t>
      </w:r>
      <w:proofErr w:type="gramEnd"/>
      <w:r w:rsidRPr="00963637">
        <w:rPr>
          <w:lang w:val="en-US"/>
        </w:rPr>
        <w:t xml:space="preserve"> Exploiter les </w:t>
      </w:r>
      <w:proofErr w:type="spellStart"/>
      <w:r w:rsidRPr="00963637">
        <w:rPr>
          <w:lang w:val="en-US"/>
        </w:rPr>
        <w:t>opportunités</w:t>
      </w:r>
      <w:proofErr w:type="spellEnd"/>
      <w:r w:rsidRPr="00963637">
        <w:rPr>
          <w:lang w:val="en-US"/>
        </w:rPr>
        <w:t xml:space="preserve"> de </w:t>
      </w:r>
      <w:proofErr w:type="spellStart"/>
      <w:r w:rsidRPr="00963637">
        <w:rPr>
          <w:lang w:val="en-US"/>
        </w:rPr>
        <w:t>croissance</w:t>
      </w:r>
      <w:proofErr w:type="spellEnd"/>
      <w:r w:rsidRPr="00963637">
        <w:rPr>
          <w:lang w:val="en-US"/>
        </w:rPr>
        <w:t xml:space="preserve"> du canal </w:t>
      </w:r>
      <w:proofErr w:type="spellStart"/>
      <w:r w:rsidRPr="00963637">
        <w:rPr>
          <w:lang w:val="en-US"/>
        </w:rPr>
        <w:t>en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ligne</w:t>
      </w:r>
      <w:proofErr w:type="spellEnd"/>
      <w:r w:rsidRPr="00963637">
        <w:rPr>
          <w:lang w:val="en-US"/>
        </w:rPr>
        <w:t xml:space="preserve"> avec des </w:t>
      </w:r>
      <w:proofErr w:type="spellStart"/>
      <w:r w:rsidRPr="00963637">
        <w:rPr>
          <w:lang w:val="en-US"/>
        </w:rPr>
        <w:t>campagnes</w:t>
      </w:r>
      <w:proofErr w:type="spellEnd"/>
      <w:r w:rsidRPr="00963637">
        <w:rPr>
          <w:lang w:val="en-US"/>
        </w:rPr>
        <w:t xml:space="preserve"> marketing </w:t>
      </w:r>
      <w:proofErr w:type="spellStart"/>
      <w:r w:rsidRPr="00963637">
        <w:rPr>
          <w:lang w:val="en-US"/>
        </w:rPr>
        <w:t>ciblées</w:t>
      </w:r>
      <w:proofErr w:type="spellEnd"/>
      <w:r w:rsidRPr="00963637">
        <w:rPr>
          <w:lang w:val="en-US"/>
        </w:rPr>
        <w:t>.</w:t>
      </w:r>
    </w:p>
    <w:p w14:paraId="11F4768C" w14:textId="77777777" w:rsidR="00963637" w:rsidRPr="00963637" w:rsidRDefault="00963637" w:rsidP="00963637">
      <w:pPr>
        <w:numPr>
          <w:ilvl w:val="0"/>
          <w:numId w:val="2"/>
        </w:numPr>
        <w:tabs>
          <w:tab w:val="left" w:pos="3696"/>
        </w:tabs>
        <w:rPr>
          <w:lang w:val="en-US"/>
        </w:rPr>
      </w:pPr>
      <w:r w:rsidRPr="00963637">
        <w:rPr>
          <w:b/>
          <w:bCs/>
          <w:lang w:val="en-US"/>
        </w:rPr>
        <w:t xml:space="preserve">Accent sur les </w:t>
      </w:r>
      <w:proofErr w:type="spellStart"/>
      <w:r w:rsidRPr="00963637">
        <w:rPr>
          <w:b/>
          <w:bCs/>
          <w:lang w:val="en-US"/>
        </w:rPr>
        <w:t>Produits</w:t>
      </w:r>
      <w:proofErr w:type="spellEnd"/>
      <w:r w:rsidRPr="00963637">
        <w:rPr>
          <w:b/>
          <w:bCs/>
          <w:lang w:val="en-US"/>
        </w:rPr>
        <w:t xml:space="preserve"> Robusta et </w:t>
      </w:r>
      <w:proofErr w:type="gramStart"/>
      <w:r w:rsidRPr="00963637">
        <w:rPr>
          <w:b/>
          <w:bCs/>
          <w:lang w:val="en-US"/>
        </w:rPr>
        <w:t>Espresso :</w:t>
      </w:r>
      <w:proofErr w:type="gramEnd"/>
      <w:r w:rsidRPr="00963637">
        <w:rPr>
          <w:b/>
          <w:bCs/>
          <w:lang w:val="en-US"/>
        </w:rPr>
        <w:t xml:space="preserve"> </w:t>
      </w:r>
      <w:r w:rsidRPr="00963637">
        <w:rPr>
          <w:lang w:val="en-US"/>
        </w:rPr>
        <w:t xml:space="preserve">Continuer à </w:t>
      </w:r>
      <w:proofErr w:type="spellStart"/>
      <w:r w:rsidRPr="00963637">
        <w:rPr>
          <w:lang w:val="en-US"/>
        </w:rPr>
        <w:t>capitaliser</w:t>
      </w:r>
      <w:proofErr w:type="spellEnd"/>
      <w:r w:rsidRPr="00963637">
        <w:rPr>
          <w:lang w:val="en-US"/>
        </w:rPr>
        <w:t xml:space="preserve"> sur les </w:t>
      </w:r>
      <w:proofErr w:type="spellStart"/>
      <w:r w:rsidRPr="00963637">
        <w:rPr>
          <w:lang w:val="en-US"/>
        </w:rPr>
        <w:t>produits</w:t>
      </w:r>
      <w:proofErr w:type="spellEnd"/>
      <w:r w:rsidRPr="00963637">
        <w:rPr>
          <w:lang w:val="en-US"/>
        </w:rPr>
        <w:t xml:space="preserve"> phares pour maximiser les </w:t>
      </w:r>
      <w:proofErr w:type="spellStart"/>
      <w:r w:rsidRPr="00963637">
        <w:rPr>
          <w:lang w:val="en-US"/>
        </w:rPr>
        <w:t>revenus</w:t>
      </w:r>
      <w:proofErr w:type="spellEnd"/>
      <w:r w:rsidRPr="00963637">
        <w:rPr>
          <w:lang w:val="en-US"/>
        </w:rPr>
        <w:t>.</w:t>
      </w:r>
    </w:p>
    <w:p w14:paraId="6A74A236" w14:textId="77777777" w:rsidR="00963637" w:rsidRPr="00963637" w:rsidRDefault="00963637" w:rsidP="00963637">
      <w:pPr>
        <w:numPr>
          <w:ilvl w:val="0"/>
          <w:numId w:val="2"/>
        </w:numPr>
        <w:tabs>
          <w:tab w:val="left" w:pos="3696"/>
        </w:tabs>
        <w:rPr>
          <w:lang w:val="en-US"/>
        </w:rPr>
      </w:pPr>
      <w:proofErr w:type="spellStart"/>
      <w:r w:rsidRPr="00963637">
        <w:rPr>
          <w:b/>
          <w:bCs/>
          <w:lang w:val="en-US"/>
        </w:rPr>
        <w:t>Stimuler</w:t>
      </w:r>
      <w:proofErr w:type="spellEnd"/>
      <w:r w:rsidRPr="00963637">
        <w:rPr>
          <w:b/>
          <w:bCs/>
          <w:lang w:val="en-US"/>
        </w:rPr>
        <w:t xml:space="preserve"> les Ventes des </w:t>
      </w:r>
      <w:proofErr w:type="spellStart"/>
      <w:r w:rsidRPr="00963637">
        <w:rPr>
          <w:b/>
          <w:bCs/>
          <w:lang w:val="en-US"/>
        </w:rPr>
        <w:t>Produits</w:t>
      </w:r>
      <w:proofErr w:type="spellEnd"/>
      <w:r w:rsidRPr="00963637">
        <w:rPr>
          <w:b/>
          <w:bCs/>
          <w:lang w:val="en-US"/>
        </w:rPr>
        <w:t xml:space="preserve"> Lungo, Latte et </w:t>
      </w:r>
      <w:proofErr w:type="gramStart"/>
      <w:r w:rsidRPr="00963637">
        <w:rPr>
          <w:b/>
          <w:bCs/>
          <w:lang w:val="en-US"/>
        </w:rPr>
        <w:t>Cappuccino :</w:t>
      </w:r>
      <w:proofErr w:type="gramEnd"/>
      <w:r w:rsidRPr="00963637">
        <w:rPr>
          <w:b/>
          <w:bCs/>
          <w:lang w:val="en-US"/>
        </w:rPr>
        <w:t xml:space="preserve"> </w:t>
      </w:r>
      <w:proofErr w:type="spellStart"/>
      <w:r w:rsidRPr="00963637">
        <w:rPr>
          <w:lang w:val="en-US"/>
        </w:rPr>
        <w:t>Mettre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en</w:t>
      </w:r>
      <w:proofErr w:type="spellEnd"/>
      <w:r w:rsidRPr="00963637">
        <w:rPr>
          <w:lang w:val="en-US"/>
        </w:rPr>
        <w:t xml:space="preserve"> place des </w:t>
      </w:r>
      <w:proofErr w:type="spellStart"/>
      <w:r w:rsidRPr="00963637">
        <w:rPr>
          <w:lang w:val="en-US"/>
        </w:rPr>
        <w:t>stratégies</w:t>
      </w:r>
      <w:proofErr w:type="spellEnd"/>
      <w:r w:rsidRPr="00963637">
        <w:rPr>
          <w:lang w:val="en-US"/>
        </w:rPr>
        <w:t xml:space="preserve"> de promotion </w:t>
      </w:r>
      <w:proofErr w:type="gramStart"/>
      <w:r w:rsidRPr="00963637">
        <w:rPr>
          <w:lang w:val="en-US"/>
        </w:rPr>
        <w:t>pour</w:t>
      </w:r>
      <w:proofErr w:type="gram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équilibrer</w:t>
      </w:r>
      <w:proofErr w:type="spellEnd"/>
      <w:r w:rsidRPr="00963637">
        <w:rPr>
          <w:lang w:val="en-US"/>
        </w:rPr>
        <w:t xml:space="preserve"> la </w:t>
      </w:r>
      <w:proofErr w:type="spellStart"/>
      <w:r w:rsidRPr="00963637">
        <w:rPr>
          <w:lang w:val="en-US"/>
        </w:rPr>
        <w:t>demande</w:t>
      </w:r>
      <w:proofErr w:type="spellEnd"/>
      <w:r w:rsidRPr="00963637">
        <w:rPr>
          <w:lang w:val="en-US"/>
        </w:rPr>
        <w:t xml:space="preserve"> entre les </w:t>
      </w:r>
      <w:proofErr w:type="spellStart"/>
      <w:r w:rsidRPr="00963637">
        <w:rPr>
          <w:lang w:val="en-US"/>
        </w:rPr>
        <w:t>différents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produits</w:t>
      </w:r>
      <w:proofErr w:type="spellEnd"/>
      <w:r w:rsidRPr="00963637">
        <w:rPr>
          <w:lang w:val="en-US"/>
        </w:rPr>
        <w:t>.</w:t>
      </w:r>
    </w:p>
    <w:p w14:paraId="177FEB27" w14:textId="77777777" w:rsidR="00963637" w:rsidRPr="00963637" w:rsidRDefault="00963637" w:rsidP="00963637">
      <w:pPr>
        <w:numPr>
          <w:ilvl w:val="0"/>
          <w:numId w:val="2"/>
        </w:numPr>
        <w:tabs>
          <w:tab w:val="left" w:pos="3696"/>
        </w:tabs>
        <w:rPr>
          <w:b/>
          <w:bCs/>
          <w:lang w:val="en-US"/>
        </w:rPr>
      </w:pPr>
      <w:proofErr w:type="spellStart"/>
      <w:r w:rsidRPr="00963637">
        <w:rPr>
          <w:b/>
          <w:bCs/>
          <w:lang w:val="en-US"/>
        </w:rPr>
        <w:t>Cibler</w:t>
      </w:r>
      <w:proofErr w:type="spellEnd"/>
      <w:r w:rsidRPr="00963637">
        <w:rPr>
          <w:b/>
          <w:bCs/>
          <w:lang w:val="en-US"/>
        </w:rPr>
        <w:t xml:space="preserve"> la </w:t>
      </w:r>
      <w:proofErr w:type="spellStart"/>
      <w:r w:rsidRPr="00963637">
        <w:rPr>
          <w:b/>
          <w:bCs/>
          <w:lang w:val="en-US"/>
        </w:rPr>
        <w:t>Région</w:t>
      </w:r>
      <w:proofErr w:type="spellEnd"/>
      <w:r w:rsidRPr="00963637">
        <w:rPr>
          <w:b/>
          <w:bCs/>
          <w:lang w:val="en-US"/>
        </w:rPr>
        <w:t xml:space="preserve"> Sud et Explorer le </w:t>
      </w:r>
      <w:proofErr w:type="spellStart"/>
      <w:r w:rsidRPr="00963637">
        <w:rPr>
          <w:b/>
          <w:bCs/>
          <w:lang w:val="en-US"/>
        </w:rPr>
        <w:t>Potentiel</w:t>
      </w:r>
      <w:proofErr w:type="spellEnd"/>
      <w:r w:rsidRPr="00963637">
        <w:rPr>
          <w:b/>
          <w:bCs/>
          <w:lang w:val="en-US"/>
        </w:rPr>
        <w:t xml:space="preserve"> des </w:t>
      </w:r>
      <w:proofErr w:type="spellStart"/>
      <w:r w:rsidRPr="00963637">
        <w:rPr>
          <w:b/>
          <w:bCs/>
          <w:lang w:val="en-US"/>
        </w:rPr>
        <w:t>Régions</w:t>
      </w:r>
      <w:proofErr w:type="spellEnd"/>
      <w:r w:rsidRPr="00963637">
        <w:rPr>
          <w:b/>
          <w:bCs/>
          <w:lang w:val="en-US"/>
        </w:rPr>
        <w:t xml:space="preserve"> Nord et </w:t>
      </w:r>
      <w:proofErr w:type="gramStart"/>
      <w:r w:rsidRPr="00963637">
        <w:rPr>
          <w:b/>
          <w:bCs/>
          <w:lang w:val="en-US"/>
        </w:rPr>
        <w:t>Centrale :</w:t>
      </w:r>
      <w:proofErr w:type="gramEnd"/>
      <w:r w:rsidRPr="00963637">
        <w:rPr>
          <w:b/>
          <w:bCs/>
          <w:lang w:val="en-US"/>
        </w:rPr>
        <w:t xml:space="preserve"> </w:t>
      </w:r>
      <w:r w:rsidRPr="00963637">
        <w:rPr>
          <w:lang w:val="en-US"/>
        </w:rPr>
        <w:t xml:space="preserve">Adapter les initiatives marketing </w:t>
      </w:r>
      <w:proofErr w:type="spellStart"/>
      <w:r w:rsidRPr="00963637">
        <w:rPr>
          <w:lang w:val="en-US"/>
        </w:rPr>
        <w:t>en</w:t>
      </w:r>
      <w:proofErr w:type="spellEnd"/>
      <w:r w:rsidRPr="00963637">
        <w:rPr>
          <w:lang w:val="en-US"/>
        </w:rPr>
        <w:t xml:space="preserve"> </w:t>
      </w:r>
      <w:proofErr w:type="spellStart"/>
      <w:r w:rsidRPr="00963637">
        <w:rPr>
          <w:lang w:val="en-US"/>
        </w:rPr>
        <w:t>fonction</w:t>
      </w:r>
      <w:proofErr w:type="spellEnd"/>
      <w:r w:rsidRPr="00963637">
        <w:rPr>
          <w:lang w:val="en-US"/>
        </w:rPr>
        <w:t xml:space="preserve"> des tendances </w:t>
      </w:r>
      <w:proofErr w:type="spellStart"/>
      <w:r w:rsidRPr="00963637">
        <w:rPr>
          <w:lang w:val="en-US"/>
        </w:rPr>
        <w:t>régionales</w:t>
      </w:r>
      <w:proofErr w:type="spellEnd"/>
      <w:r w:rsidRPr="00963637">
        <w:rPr>
          <w:lang w:val="en-US"/>
        </w:rPr>
        <w:t xml:space="preserve"> pour maximiser la </w:t>
      </w:r>
      <w:proofErr w:type="spellStart"/>
      <w:r w:rsidRPr="00963637">
        <w:rPr>
          <w:lang w:val="en-US"/>
        </w:rPr>
        <w:t>pénétration</w:t>
      </w:r>
      <w:proofErr w:type="spellEnd"/>
      <w:r w:rsidRPr="00963637">
        <w:rPr>
          <w:lang w:val="en-US"/>
        </w:rPr>
        <w:t xml:space="preserve"> du </w:t>
      </w:r>
      <w:proofErr w:type="spellStart"/>
      <w:r w:rsidRPr="00963637">
        <w:rPr>
          <w:lang w:val="en-US"/>
        </w:rPr>
        <w:t>marché</w:t>
      </w:r>
      <w:proofErr w:type="spellEnd"/>
      <w:r w:rsidRPr="00963637">
        <w:rPr>
          <w:b/>
          <w:bCs/>
          <w:lang w:val="en-US"/>
        </w:rPr>
        <w:t>.</w:t>
      </w:r>
    </w:p>
    <w:p w14:paraId="5E1D91CF" w14:textId="77777777" w:rsidR="00764577" w:rsidRPr="00764577" w:rsidRDefault="00000000" w:rsidP="00764577">
      <w:pPr>
        <w:tabs>
          <w:tab w:val="left" w:pos="3696"/>
        </w:tabs>
      </w:pPr>
      <w:r>
        <w:pict w14:anchorId="4B3A6300">
          <v:rect id="_x0000_i1028" style="width:0;height:1.5pt" o:hralign="center" o:hrstd="t" o:hr="t" fillcolor="#a0a0a0" stroked="f"/>
        </w:pict>
      </w:r>
    </w:p>
    <w:p w14:paraId="2F6FABBC" w14:textId="77777777" w:rsidR="00764577" w:rsidRPr="00764577" w:rsidRDefault="00764577" w:rsidP="00764577">
      <w:pPr>
        <w:tabs>
          <w:tab w:val="left" w:pos="3696"/>
        </w:tabs>
        <w:rPr>
          <w:b/>
          <w:bCs/>
          <w:lang w:val="fr-CA"/>
        </w:rPr>
      </w:pPr>
      <w:r w:rsidRPr="00764577">
        <w:rPr>
          <w:b/>
          <w:bCs/>
          <w:lang w:val="fr-CA"/>
        </w:rPr>
        <w:t>Conclusion</w:t>
      </w:r>
    </w:p>
    <w:p w14:paraId="42055813" w14:textId="77777777" w:rsidR="005D4FE8" w:rsidRPr="005D4FE8" w:rsidRDefault="005D4FE8" w:rsidP="005D4FE8">
      <w:pPr>
        <w:tabs>
          <w:tab w:val="left" w:pos="3696"/>
        </w:tabs>
        <w:rPr>
          <w:lang w:val="en-US"/>
        </w:rPr>
      </w:pPr>
      <w:r w:rsidRPr="005D4FE8">
        <w:rPr>
          <w:lang w:val="en-US"/>
        </w:rPr>
        <w:t xml:space="preserve">Ce rapport met </w:t>
      </w:r>
      <w:proofErr w:type="spellStart"/>
      <w:r w:rsidRPr="005D4FE8">
        <w:rPr>
          <w:lang w:val="en-US"/>
        </w:rPr>
        <w:t>en</w:t>
      </w:r>
      <w:proofErr w:type="spellEnd"/>
      <w:r w:rsidRPr="005D4FE8">
        <w:rPr>
          <w:lang w:val="en-US"/>
        </w:rPr>
        <w:t xml:space="preserve"> </w:t>
      </w:r>
      <w:proofErr w:type="spellStart"/>
      <w:r w:rsidRPr="005D4FE8">
        <w:rPr>
          <w:lang w:val="en-US"/>
        </w:rPr>
        <w:t>avant</w:t>
      </w:r>
      <w:proofErr w:type="spellEnd"/>
      <w:r w:rsidRPr="005D4FE8">
        <w:rPr>
          <w:lang w:val="en-US"/>
        </w:rPr>
        <w:t xml:space="preserve"> les performances de Beans &amp; Pods et </w:t>
      </w:r>
      <w:proofErr w:type="spellStart"/>
      <w:r w:rsidRPr="005D4FE8">
        <w:rPr>
          <w:lang w:val="en-US"/>
        </w:rPr>
        <w:t>identifie</w:t>
      </w:r>
      <w:proofErr w:type="spellEnd"/>
      <w:r w:rsidRPr="005D4FE8">
        <w:rPr>
          <w:lang w:val="en-US"/>
        </w:rPr>
        <w:t xml:space="preserve"> des axes </w:t>
      </w:r>
      <w:proofErr w:type="spellStart"/>
      <w:r w:rsidRPr="005D4FE8">
        <w:rPr>
          <w:lang w:val="en-US"/>
        </w:rPr>
        <w:t>d'amélioration</w:t>
      </w:r>
      <w:proofErr w:type="spellEnd"/>
      <w:r w:rsidRPr="005D4FE8">
        <w:rPr>
          <w:lang w:val="en-US"/>
        </w:rPr>
        <w:t xml:space="preserve"> </w:t>
      </w:r>
      <w:proofErr w:type="spellStart"/>
      <w:r w:rsidRPr="005D4FE8">
        <w:rPr>
          <w:lang w:val="en-US"/>
        </w:rPr>
        <w:t>stratégiques</w:t>
      </w:r>
      <w:proofErr w:type="spellEnd"/>
      <w:r w:rsidRPr="005D4FE8">
        <w:rPr>
          <w:lang w:val="en-US"/>
        </w:rPr>
        <w:t xml:space="preserve">. Un </w:t>
      </w:r>
      <w:proofErr w:type="spellStart"/>
      <w:r w:rsidRPr="005D4FE8">
        <w:rPr>
          <w:lang w:val="en-US"/>
        </w:rPr>
        <w:t>équilibre</w:t>
      </w:r>
      <w:proofErr w:type="spellEnd"/>
      <w:r w:rsidRPr="005D4FE8">
        <w:rPr>
          <w:lang w:val="en-US"/>
        </w:rPr>
        <w:t xml:space="preserve"> entre les </w:t>
      </w:r>
      <w:proofErr w:type="spellStart"/>
      <w:r w:rsidRPr="005D4FE8">
        <w:rPr>
          <w:lang w:val="en-US"/>
        </w:rPr>
        <w:t>canaux</w:t>
      </w:r>
      <w:proofErr w:type="spellEnd"/>
      <w:r w:rsidRPr="005D4FE8">
        <w:rPr>
          <w:lang w:val="en-US"/>
        </w:rPr>
        <w:t xml:space="preserve"> de distribution, un focus sur les </w:t>
      </w:r>
      <w:proofErr w:type="spellStart"/>
      <w:r w:rsidRPr="005D4FE8">
        <w:rPr>
          <w:lang w:val="en-US"/>
        </w:rPr>
        <w:t>produits</w:t>
      </w:r>
      <w:proofErr w:type="spellEnd"/>
      <w:r w:rsidRPr="005D4FE8">
        <w:rPr>
          <w:lang w:val="en-US"/>
        </w:rPr>
        <w:t xml:space="preserve"> </w:t>
      </w:r>
      <w:proofErr w:type="spellStart"/>
      <w:r w:rsidRPr="005D4FE8">
        <w:rPr>
          <w:lang w:val="en-US"/>
        </w:rPr>
        <w:t>populaires</w:t>
      </w:r>
      <w:proofErr w:type="spellEnd"/>
      <w:r w:rsidRPr="005D4FE8">
        <w:rPr>
          <w:lang w:val="en-US"/>
        </w:rPr>
        <w:t xml:space="preserve"> tout </w:t>
      </w:r>
      <w:proofErr w:type="spellStart"/>
      <w:r w:rsidRPr="005D4FE8">
        <w:rPr>
          <w:lang w:val="en-US"/>
        </w:rPr>
        <w:t>en</w:t>
      </w:r>
      <w:proofErr w:type="spellEnd"/>
      <w:r w:rsidRPr="005D4FE8">
        <w:rPr>
          <w:lang w:val="en-US"/>
        </w:rPr>
        <w:t xml:space="preserve"> stimulant les ventes des articles </w:t>
      </w:r>
      <w:proofErr w:type="spellStart"/>
      <w:r w:rsidRPr="005D4FE8">
        <w:rPr>
          <w:lang w:val="en-US"/>
        </w:rPr>
        <w:t>moins</w:t>
      </w:r>
      <w:proofErr w:type="spellEnd"/>
      <w:r w:rsidRPr="005D4FE8">
        <w:rPr>
          <w:lang w:val="en-US"/>
        </w:rPr>
        <w:t xml:space="preserve"> performants et </w:t>
      </w:r>
      <w:proofErr w:type="spellStart"/>
      <w:r w:rsidRPr="005D4FE8">
        <w:rPr>
          <w:lang w:val="en-US"/>
        </w:rPr>
        <w:t>une</w:t>
      </w:r>
      <w:proofErr w:type="spellEnd"/>
      <w:r w:rsidRPr="005D4FE8">
        <w:rPr>
          <w:lang w:val="en-US"/>
        </w:rPr>
        <w:t xml:space="preserve"> </w:t>
      </w:r>
      <w:proofErr w:type="spellStart"/>
      <w:r w:rsidRPr="005D4FE8">
        <w:rPr>
          <w:lang w:val="en-US"/>
        </w:rPr>
        <w:t>stratégie</w:t>
      </w:r>
      <w:proofErr w:type="spellEnd"/>
      <w:r w:rsidRPr="005D4FE8">
        <w:rPr>
          <w:lang w:val="en-US"/>
        </w:rPr>
        <w:t xml:space="preserve"> marketing </w:t>
      </w:r>
      <w:proofErr w:type="spellStart"/>
      <w:r w:rsidRPr="005D4FE8">
        <w:rPr>
          <w:lang w:val="en-US"/>
        </w:rPr>
        <w:t>adaptée</w:t>
      </w:r>
      <w:proofErr w:type="spellEnd"/>
      <w:r w:rsidRPr="005D4FE8">
        <w:rPr>
          <w:lang w:val="en-US"/>
        </w:rPr>
        <w:t xml:space="preserve"> aux </w:t>
      </w:r>
      <w:proofErr w:type="spellStart"/>
      <w:r w:rsidRPr="005D4FE8">
        <w:rPr>
          <w:lang w:val="en-US"/>
        </w:rPr>
        <w:t>régions</w:t>
      </w:r>
      <w:proofErr w:type="spellEnd"/>
      <w:r w:rsidRPr="005D4FE8">
        <w:rPr>
          <w:lang w:val="en-US"/>
        </w:rPr>
        <w:t xml:space="preserve"> </w:t>
      </w:r>
      <w:proofErr w:type="spellStart"/>
      <w:r w:rsidRPr="005D4FE8">
        <w:rPr>
          <w:lang w:val="en-US"/>
        </w:rPr>
        <w:t>clés</w:t>
      </w:r>
      <w:proofErr w:type="spellEnd"/>
      <w:r w:rsidRPr="005D4FE8">
        <w:rPr>
          <w:lang w:val="en-US"/>
        </w:rPr>
        <w:t xml:space="preserve"> </w:t>
      </w:r>
      <w:proofErr w:type="spellStart"/>
      <w:r w:rsidRPr="005D4FE8">
        <w:rPr>
          <w:lang w:val="en-US"/>
        </w:rPr>
        <w:t>permettront</w:t>
      </w:r>
      <w:proofErr w:type="spellEnd"/>
      <w:r w:rsidRPr="005D4FE8">
        <w:rPr>
          <w:lang w:val="en-US"/>
        </w:rPr>
        <w:t xml:space="preserve"> à Beans &amp; Pods de </w:t>
      </w:r>
      <w:proofErr w:type="spellStart"/>
      <w:r w:rsidRPr="005D4FE8">
        <w:rPr>
          <w:lang w:val="en-US"/>
        </w:rPr>
        <w:t>poursuivre</w:t>
      </w:r>
      <w:proofErr w:type="spellEnd"/>
      <w:r w:rsidRPr="005D4FE8">
        <w:rPr>
          <w:lang w:val="en-US"/>
        </w:rPr>
        <w:t xml:space="preserve"> </w:t>
      </w:r>
      <w:proofErr w:type="spellStart"/>
      <w:r w:rsidRPr="005D4FE8">
        <w:rPr>
          <w:lang w:val="en-US"/>
        </w:rPr>
        <w:t>sa</w:t>
      </w:r>
      <w:proofErr w:type="spellEnd"/>
      <w:r w:rsidRPr="005D4FE8">
        <w:rPr>
          <w:lang w:val="en-US"/>
        </w:rPr>
        <w:t xml:space="preserve"> </w:t>
      </w:r>
      <w:proofErr w:type="spellStart"/>
      <w:r w:rsidRPr="005D4FE8">
        <w:rPr>
          <w:lang w:val="en-US"/>
        </w:rPr>
        <w:t>croissance</w:t>
      </w:r>
      <w:proofErr w:type="spellEnd"/>
      <w:r w:rsidRPr="005D4FE8">
        <w:rPr>
          <w:lang w:val="en-US"/>
        </w:rPr>
        <w:t xml:space="preserve"> et </w:t>
      </w:r>
      <w:proofErr w:type="spellStart"/>
      <w:r w:rsidRPr="005D4FE8">
        <w:rPr>
          <w:lang w:val="en-US"/>
        </w:rPr>
        <w:t>d'exploiter</w:t>
      </w:r>
      <w:proofErr w:type="spellEnd"/>
      <w:r w:rsidRPr="005D4FE8">
        <w:rPr>
          <w:lang w:val="en-US"/>
        </w:rPr>
        <w:t xml:space="preserve"> de </w:t>
      </w:r>
      <w:proofErr w:type="spellStart"/>
      <w:r w:rsidRPr="005D4FE8">
        <w:rPr>
          <w:lang w:val="en-US"/>
        </w:rPr>
        <w:t>nouvelles</w:t>
      </w:r>
      <w:proofErr w:type="spellEnd"/>
      <w:r w:rsidRPr="005D4FE8">
        <w:rPr>
          <w:lang w:val="en-US"/>
        </w:rPr>
        <w:t xml:space="preserve"> </w:t>
      </w:r>
      <w:proofErr w:type="spellStart"/>
      <w:r w:rsidRPr="005D4FE8">
        <w:rPr>
          <w:lang w:val="en-US"/>
        </w:rPr>
        <w:t>opportunités</w:t>
      </w:r>
      <w:proofErr w:type="spellEnd"/>
      <w:r w:rsidRPr="005D4FE8">
        <w:rPr>
          <w:lang w:val="en-US"/>
        </w:rPr>
        <w:t>.</w:t>
      </w:r>
    </w:p>
    <w:p w14:paraId="02F2CD29" w14:textId="77777777" w:rsidR="00764577" w:rsidRPr="005D4FE8" w:rsidRDefault="00764577" w:rsidP="00072088">
      <w:pPr>
        <w:tabs>
          <w:tab w:val="left" w:pos="3696"/>
        </w:tabs>
        <w:rPr>
          <w:lang w:val="en-US"/>
        </w:rPr>
      </w:pPr>
    </w:p>
    <w:sectPr w:rsidR="00764577" w:rsidRPr="005D4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02CA3"/>
    <w:multiLevelType w:val="multilevel"/>
    <w:tmpl w:val="48EE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C0829"/>
    <w:multiLevelType w:val="multilevel"/>
    <w:tmpl w:val="927A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608259">
    <w:abstractNumId w:val="0"/>
  </w:num>
  <w:num w:numId="2" w16cid:durableId="780758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2F"/>
    <w:rsid w:val="00072088"/>
    <w:rsid w:val="00247C39"/>
    <w:rsid w:val="00562414"/>
    <w:rsid w:val="005D4FE8"/>
    <w:rsid w:val="00671090"/>
    <w:rsid w:val="006E4B08"/>
    <w:rsid w:val="00764577"/>
    <w:rsid w:val="008F74E0"/>
    <w:rsid w:val="00963637"/>
    <w:rsid w:val="00F24D2F"/>
    <w:rsid w:val="00FA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DBE4"/>
  <w15:chartTrackingRefBased/>
  <w15:docId w15:val="{DA688A89-3B37-4794-A877-81AFE601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8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Ahmedou Lehbib</dc:creator>
  <cp:keywords/>
  <dc:description/>
  <cp:lastModifiedBy>oussama talhi</cp:lastModifiedBy>
  <cp:revision>4</cp:revision>
  <dcterms:created xsi:type="dcterms:W3CDTF">2024-10-31T01:49:00Z</dcterms:created>
  <dcterms:modified xsi:type="dcterms:W3CDTF">2025-03-26T03:37:00Z</dcterms:modified>
</cp:coreProperties>
</file>