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numPr>
          <w:ilvl w:val="3"/>
          <w:numId w:val="2"/>
        </w:numPr>
        <w:spacing w:before="0" w:after="200"/>
        <w:ind w:hanging="284" w:left="1133" w:right="-607"/>
        <w:rPr>
          <w:sz w:val="24"/>
          <w:szCs w:val="24"/>
        </w:rPr>
      </w:pPr>
      <w:bookmarkStart w:id="0" w:name="_2t4ppz20webj"/>
      <w:bookmarkEnd w:id="0"/>
      <w:r>
        <w:rPr/>
        <w:t>Détails des User stories</w:t>
      </w:r>
    </w:p>
    <w:p>
      <w:pPr>
        <w:pStyle w:val="Heading5"/>
        <w:numPr>
          <w:ilvl w:val="0"/>
          <w:numId w:val="3"/>
        </w:numPr>
        <w:ind w:hanging="360" w:left="1440" w:right="-607"/>
        <w:rPr>
          <w:i/>
          <w:i/>
          <w:iCs/>
          <w:sz w:val="20"/>
          <w:szCs w:val="20"/>
        </w:rPr>
      </w:pPr>
      <w:bookmarkStart w:id="1" w:name="_cjf923lhpdnk"/>
      <w:bookmarkEnd w:id="1"/>
      <w:r>
        <w:rPr>
          <w:i/>
          <w:iCs/>
          <w:color w:val="000000"/>
          <w:u w:val="single"/>
        </w:rPr>
        <w:t>US- Flux entrant : Mapping des “</w:t>
      </w:r>
      <w:r>
        <w:rPr>
          <w:b/>
          <w:bCs/>
          <w:i/>
          <w:iCs/>
          <w:color w:val="000000"/>
          <w:u w:val="single"/>
        </w:rPr>
        <w:t>Données de la commande</w:t>
      </w:r>
      <w:r>
        <w:rPr>
          <w:i/>
          <w:iCs/>
          <w:color w:val="000000"/>
          <w:u w:val="single"/>
        </w:rPr>
        <w:t>“</w:t>
      </w:r>
    </w:p>
    <w:p>
      <w:pPr>
        <w:pStyle w:val="normal1"/>
        <w:rPr/>
      </w:pPr>
      <w:r>
        <w:rPr/>
        <w:t>Lors de la réception d’une demande de création, d’annulation de commande ou de devis, les données transmises par WOOP sont structurées selon son propre modèle de données. Le middleware effectue alors un mapping pour transformer ces données au format attendu par le modèle de données de la Standard API.</w:t>
      </w:r>
    </w:p>
    <w:p>
      <w:pPr>
        <w:pStyle w:val="normal1"/>
        <w:rPr/>
      </w:pPr>
      <w:r>
        <w:rPr/>
        <w:t>Le modèle de données de la Standard API, décrit en détail dans la section 3.2.1.3 - Modèle de données de la commande “Standard API”, est mappé avec les champs provenant des requêtes WOOP. Cette transformation garantit la conformité des commandes sur le Middleware XL EDS.</w:t>
      </w:r>
    </w:p>
    <w:p>
      <w:pPr>
        <w:pStyle w:val="normal1"/>
        <w:rPr/>
      </w:pPr>
      <w:r>
        <w:rPr/>
        <w:t>Le tableau ci-dessous présente en détail le mapping des différents champs entre le modèle WOOP et celui de la Standard API :</w:t>
      </w:r>
    </w:p>
    <w:p>
      <w:pPr>
        <w:pStyle w:val="normal1"/>
        <w:rPr/>
      </w:pPr>
      <w:r>
        <w:rPr/>
      </w:r>
    </w:p>
    <w:tbl>
      <w:tblPr>
        <w:tblStyle w:val="Table29"/>
        <w:tblW w:w="11025" w:type="dxa"/>
        <w:jc w:val="left"/>
        <w:tblInd w:w="-951" w:type="dxa"/>
        <w:tblLayout w:type="fixed"/>
        <w:tblCellMar>
          <w:top w:w="0" w:type="dxa"/>
          <w:left w:w="40" w:type="dxa"/>
          <w:bottom w:w="0" w:type="dxa"/>
          <w:right w:w="40" w:type="dxa"/>
        </w:tblCellMar>
        <w:tblLook w:val="0600"/>
      </w:tblPr>
      <w:tblGrid>
        <w:gridCol w:w="1544"/>
        <w:gridCol w:w="1576"/>
        <w:gridCol w:w="3840"/>
        <w:gridCol w:w="1650"/>
        <w:gridCol w:w="1034"/>
        <w:gridCol w:w="1380"/>
      </w:tblGrid>
      <w:tr>
        <w:trPr>
          <w:tblHeader w:val="true"/>
          <w:trHeight w:val="315" w:hRule="atLeast"/>
        </w:trPr>
        <w:tc>
          <w:tcPr>
            <w:tcW w:w="3120"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 Standard API</w:t>
            </w:r>
          </w:p>
        </w:tc>
        <w:tc>
          <w:tcPr>
            <w:tcW w:w="384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4064"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 WOOP</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de la commande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Identifiant unique interne Middleware</w:t>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deliveryId</w:t>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quoteId</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quoteId</w:t>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Interprété depuis le champ “Service”:</w:t>
            </w:r>
          </w:p>
          <w:p>
            <w:pPr>
              <w:pStyle w:val="normal1"/>
              <w:widowControl w:val="false"/>
              <w:numPr>
                <w:ilvl w:val="0"/>
                <w:numId w:val="4"/>
              </w:numPr>
              <w:spacing w:lineRule="auto" w:line="240" w:before="0" w:after="0"/>
              <w:ind w:hanging="283" w:left="425" w:right="0"/>
              <w:rPr>
                <w:sz w:val="20"/>
                <w:szCs w:val="20"/>
              </w:rPr>
            </w:pPr>
            <w:r>
              <w:rPr>
                <w:sz w:val="20"/>
                <w:szCs w:val="20"/>
              </w:rPr>
              <w:t>Type = Pickup s’il y a le service “SERVICE_RETURN”</w:t>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Prestation</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Interprétée depuis le champ interval</w:t>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Client reference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interne chez le client</w:t>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referenceNumber</w:t>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Canal</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interprété depuis le champ “value” pour :</w:t>
            </w:r>
          </w:p>
          <w:p>
            <w:pPr>
              <w:pStyle w:val="normal1"/>
              <w:widowControl w:val="false"/>
              <w:spacing w:lineRule="auto" w:line="240" w:before="0" w:after="0"/>
              <w:ind w:hanging="0" w:left="0" w:right="0"/>
              <w:rPr>
                <w:sz w:val="20"/>
                <w:szCs w:val="20"/>
              </w:rPr>
            </w:pPr>
            <w:r>
              <w:rPr>
                <w:sz w:val="20"/>
                <w:szCs w:val="20"/>
              </w:rPr>
              <w:t>“</w:t>
            </w:r>
            <w:r>
              <w:rPr>
                <w:sz w:val="20"/>
                <w:szCs w:val="20"/>
              </w:rPr>
              <w:t>tags / Key” = “pricing”</w:t>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tags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references</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name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description</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quantity</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quantity</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width</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width</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length</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lenght</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height</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packages</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height</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value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price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034"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Items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services</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Applicables à tous les articles de la commande</w:t>
            </w:r>
          </w:p>
        </w:tc>
        <w:tc>
          <w:tcPr>
            <w:tcW w:w="165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services</w:t>
            </w:r>
          </w:p>
        </w:tc>
        <w:tc>
          <w:tcPr>
            <w:tcW w:w="1034" w:type="dxa"/>
            <w:vMerge w:val="restart"/>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1380" w:type="dxa"/>
            <w:vMerge w:val="restart"/>
            <w:tcBorders>
              <w:top w:val="single" w:sz="8" w:space="0" w:color="CCCCCC"/>
              <w:left w:val="single" w:sz="8" w:space="0" w:color="CCCCCC"/>
              <w:bottom w:val="single" w:sz="6"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Service</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034"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80" w:type="dxa"/>
            <w:vMerge w:val="continue"/>
            <w:tcBorders>
              <w:top w:val="single" w:sz="8"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addressLine1</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addressLine2</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country</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city</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6"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district</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6" w:space="0" w:color="000000"/>
              <w:left w:val="single" w:sz="8" w:space="0" w:color="000000"/>
              <w:bottom w:val="single" w:sz="8" w:space="0" w:color="000000"/>
              <w:right w:val="single" w:sz="6" w:space="0" w:color="000000"/>
            </w:tcBorders>
            <w:tcMar>
              <w:top w:w="40" w:type="dxa"/>
              <w:bottom w:w="40" w:type="dxa"/>
            </w:tcMar>
            <w:vAlign w:val="center"/>
          </w:tcPr>
          <w:p>
            <w:pPr>
              <w:pStyle w:val="normal1"/>
              <w:widowControl w:val="false"/>
              <w:spacing w:lineRule="auto" w:line="240" w:before="0" w:after="0"/>
              <w:ind w:hanging="0" w:left="0" w:right="0"/>
              <w:rPr>
                <w:sz w:val="20"/>
                <w:szCs w:val="20"/>
              </w:rPr>
            </w:pPr>
            <w:r>
              <w:rPr>
                <w:sz w:val="20"/>
                <w:szCs w:val="20"/>
              </w:rPr>
              <w:t>postalCode</w:t>
            </w:r>
          </w:p>
        </w:tc>
      </w:tr>
      <w:tr>
        <w:trPr>
          <w:trHeight w:val="315" w:hRule="atLeast"/>
        </w:trPr>
        <w:tc>
          <w:tcPr>
            <w:tcW w:w="1544"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additionalAddress</w:t>
            </w:r>
          </w:p>
        </w:tc>
        <w:tc>
          <w:tcPr>
            <w:tcW w:w="3840" w:type="dxa"/>
            <w:vMerge w:val="restart"/>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doorCode</w:t>
            </w:r>
          </w:p>
        </w:tc>
      </w:tr>
      <w:tr>
        <w:trPr>
          <w:trHeight w:val="315" w:hRule="atLeast"/>
        </w:trPr>
        <w:tc>
          <w:tcPr>
            <w:tcW w:w="154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76"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840" w:type="dxa"/>
            <w:vMerge w:val="continue"/>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b/>
                <w:bCs/>
                <w:color w:val="473821"/>
                <w:sz w:val="20"/>
                <w:szCs w:val="20"/>
              </w:rPr>
              <w:t>infos</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Elevator</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000000"/>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elevator</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Floor</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floor</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lat</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coordinates</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addresses</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lng</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coordinates</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timeWindow</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start</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interval</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start</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timeWindow</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end</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interval</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end</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Magasin</w:t>
            </w:r>
          </w:p>
        </w:tc>
        <w:tc>
          <w:tcPr>
            <w:tcW w:w="1576"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retailer</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w:t>
            </w:r>
          </w:p>
        </w:tc>
        <w:tc>
          <w:tcPr>
            <w:tcW w:w="1380" w:type="dxa"/>
            <w:tcBorders>
              <w:top w:val="single" w:sz="8" w:space="0" w:color="CCCCCC"/>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Prénom</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firstName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473821"/>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lastName</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 final</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Email</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FF0000"/>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email</w:t>
            </w:r>
          </w:p>
        </w:tc>
      </w:tr>
      <w:tr>
        <w:trPr>
          <w:trHeight w:val="315" w:hRule="atLeast"/>
        </w:trPr>
        <w:tc>
          <w:tcPr>
            <w:tcW w:w="154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consommateur</w:t>
            </w:r>
          </w:p>
        </w:tc>
        <w:tc>
          <w:tcPr>
            <w:tcW w:w="1576"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 de téléphone</w:t>
            </w:r>
          </w:p>
        </w:tc>
        <w:tc>
          <w:tcPr>
            <w:tcW w:w="384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65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delivery / picking</w:t>
            </w:r>
          </w:p>
        </w:tc>
        <w:tc>
          <w:tcPr>
            <w:tcW w:w="1034"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b/>
                <w:bCs/>
                <w:color w:val="FF0000"/>
                <w:sz w:val="20"/>
                <w:szCs w:val="20"/>
              </w:rPr>
            </w:pPr>
            <w:r>
              <w:rPr>
                <w:sz w:val="20"/>
                <w:szCs w:val="20"/>
              </w:rPr>
              <w:t>location</w:t>
            </w:r>
          </w:p>
        </w:tc>
        <w:tc>
          <w:tcPr>
            <w:tcW w:w="138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phone</w:t>
            </w:r>
          </w:p>
        </w:tc>
      </w:tr>
    </w:tbl>
    <w:p>
      <w:pPr>
        <w:pStyle w:val="normal1"/>
        <w:rPr/>
      </w:pPr>
      <w:r>
        <w:rPr/>
      </w:r>
    </w:p>
    <w:p>
      <w:pPr>
        <w:pStyle w:val="normal1"/>
        <w:rPr/>
      </w:pPr>
      <w:r>
        <w:rPr>
          <w:b/>
          <w:bCs/>
          <w:u w:val="single"/>
        </w:rPr>
        <w:t xml:space="preserve">Remarque </w:t>
      </w:r>
      <w:r>
        <w:rPr/>
        <w:t xml:space="preserve">: </w:t>
      </w:r>
    </w:p>
    <w:p>
      <w:pPr>
        <w:pStyle w:val="normal1"/>
        <w:numPr>
          <w:ilvl w:val="0"/>
          <w:numId w:val="1"/>
        </w:numPr>
        <w:ind w:hanging="270" w:left="-141" w:right="-607"/>
        <w:rPr/>
      </w:pPr>
      <w:r>
        <w:rPr/>
        <w:t>Ce tableau ne présente que les champs reçus de WOOP. Toutes les données du modèle de la Standard API qui ne figurent pas dans ce tableau sont soit interprétées par le middleware, soit fournies directement par Urbantz.</w:t>
      </w:r>
    </w:p>
    <w:p>
      <w:pPr>
        <w:pStyle w:val="normal1"/>
        <w:numPr>
          <w:ilvl w:val="0"/>
          <w:numId w:val="1"/>
        </w:numPr>
        <w:spacing w:before="0" w:after="200"/>
        <w:ind w:hanging="270" w:left="-141" w:right="-607"/>
        <w:rPr/>
      </w:pPr>
      <w:r>
        <w:rPr/>
        <w:t>Le client WOOP ne prend pas en charge la modification directe des commandes via une requête bien spécifique. Pour toute mise à jour des données de la commande, il envoie successivement deux requêtes au middleware XL EDS : d’abord une annulation de la commande existante, puis une création d’une nouvelle commande en conservant la même référence client.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2">
    <w:lvl w:ilvl="0">
      <w:start w:val="1"/>
      <w:numFmt w:val="decimal"/>
      <w:lvlText w:val="%1."/>
      <w:lvlJc w:val="right"/>
      <w:pPr>
        <w:tabs>
          <w:tab w:val="num" w:pos="0"/>
        </w:tabs>
        <w:ind w:left="850" w:firstLine="435"/>
      </w:pPr>
      <w:rPr>
        <w:u w:val="none"/>
      </w:rPr>
    </w:lvl>
    <w:lvl w:ilvl="1">
      <w:start w:val="1"/>
      <w:numFmt w:val="decimal"/>
      <w:lvlText w:val="%1.%2."/>
      <w:lvlJc w:val="right"/>
      <w:pPr>
        <w:tabs>
          <w:tab w:val="num" w:pos="0"/>
        </w:tabs>
        <w:ind w:left="283" w:hanging="134"/>
      </w:pPr>
      <w:rPr>
        <w:u w:val="none"/>
      </w:rPr>
    </w:lvl>
    <w:lvl w:ilvl="2">
      <w:start w:val="1"/>
      <w:numFmt w:val="decimal"/>
      <w:lvlText w:val="%1.%2.%3."/>
      <w:lvlJc w:val="right"/>
      <w:pPr>
        <w:tabs>
          <w:tab w:val="num" w:pos="0"/>
        </w:tabs>
        <w:ind w:left="708" w:hanging="135"/>
      </w:pPr>
      <w:rPr>
        <w:sz w:val="22"/>
        <w:u w:val="none"/>
        <w:szCs w:val="22"/>
      </w:rPr>
    </w:lvl>
    <w:lvl w:ilvl="3">
      <w:start w:val="1"/>
      <w:numFmt w:val="decimal"/>
      <w:lvlText w:val="%1.%2.%3.%4."/>
      <w:lvlJc w:val="right"/>
      <w:pPr>
        <w:tabs>
          <w:tab w:val="num" w:pos="0"/>
        </w:tabs>
        <w:ind w:left="1133" w:hanging="284"/>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3">
    <w:lvl w:ilvl="0">
      <w:start w:val="1"/>
      <w:numFmt w:val="lowerLetter"/>
      <w:lvlText w:val="%1)- "/>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4">
    <w:lvl w:ilvl="0">
      <w:start w:val="1"/>
      <w:numFmt w:val="bullet"/>
      <w:lvlText w:val=""/>
      <w:lvlJc w:val="left"/>
      <w:pPr>
        <w:tabs>
          <w:tab w:val="num" w:pos="0"/>
        </w:tabs>
        <w:ind w:left="425" w:hanging="283"/>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4">
    <w:name w:val="Heading 4"/>
    <w:basedOn w:val="normal1"/>
    <w:next w:val="normal1"/>
    <w:qFormat/>
    <w:pPr>
      <w:keepNext w:val="true"/>
      <w:keepLines/>
      <w:spacing w:lineRule="auto" w:line="240" w:before="320" w:after="200"/>
      <w:ind w:hanging="285" w:left="1133"/>
    </w:pPr>
    <w:rPr>
      <w:i/>
      <w:iCs/>
      <w:color w:val="434343"/>
      <w:u w:val="single"/>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bidi w:val="0"/>
      <w:spacing w:lineRule="auto" w:line="276" w:before="0" w:after="200"/>
      <w:ind w:hanging="0" w:left="-566" w:right="-607"/>
      <w:jc w:val="left"/>
    </w:pPr>
    <w:rPr>
      <w:rFonts w:ascii="Arial" w:hAnsi="Arial" w:eastAsia="Arial" w:cs="Arial"/>
      <w:color w:val="auto"/>
      <w:kern w:val="0"/>
      <w:sz w:val="22"/>
      <w:szCs w:val="22"/>
      <w:lang w:val="fr-F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455</Words>
  <Characters>2573</Characters>
  <CharactersWithSpaces>2879</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2025-11-13T00:42:59Z</dcterms:created>
  <dc:creator/>
  <dc:description/>
  <dc:language>en-US</dc:language>
  <cp:lastModifiedBy/>
  <dcterms:modified xsi:type="dcterms:W3CDTF">2025-11-13T00:44:29Z</dcterms:modified>
  <cp:revision>1</cp:revision>
  <dc:subject/>
  <dc:title/>
</cp:coreProperties>
</file>