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4"/>
        <w:numPr>
          <w:ilvl w:val="3"/>
          <w:numId w:val="2"/>
        </w:numPr>
        <w:spacing w:before="0" w:after="200"/>
        <w:ind w:hanging="284" w:left="1133" w:right="-607"/>
        <w:rPr>
          <w:sz w:val="24"/>
          <w:szCs w:val="24"/>
        </w:rPr>
      </w:pPr>
      <w:bookmarkStart w:id="0" w:name="_2t4ppz20webj"/>
      <w:bookmarkEnd w:id="0"/>
      <w:r>
        <w:rPr/>
        <w:t>Détails des User stories</w:t>
      </w:r>
    </w:p>
    <w:p>
      <w:pPr>
        <w:pStyle w:val="Heading5"/>
        <w:numPr>
          <w:ilvl w:val="0"/>
          <w:numId w:val="3"/>
        </w:numPr>
        <w:ind w:hanging="360" w:left="1440" w:right="-607"/>
        <w:rPr>
          <w:i/>
          <w:i/>
          <w:iCs/>
          <w:sz w:val="20"/>
          <w:szCs w:val="20"/>
        </w:rPr>
      </w:pPr>
      <w:bookmarkStart w:id="1" w:name="_cjf923lhpdnk"/>
      <w:bookmarkEnd w:id="1"/>
      <w:r>
        <w:rPr>
          <w:i/>
          <w:iCs/>
          <w:color w:val="000000"/>
          <w:u w:val="single"/>
        </w:rPr>
        <w:t>US- Flux entrant : Mapping des “</w:t>
      </w:r>
      <w:r>
        <w:rPr>
          <w:b/>
          <w:bCs/>
          <w:i/>
          <w:iCs/>
          <w:color w:val="000000"/>
          <w:u w:val="single"/>
        </w:rPr>
        <w:t>Données de la commande</w:t>
      </w:r>
      <w:r>
        <w:rPr>
          <w:i/>
          <w:iCs/>
          <w:color w:val="000000"/>
          <w:u w:val="single"/>
        </w:rPr>
        <w:t>“</w:t>
      </w:r>
    </w:p>
    <w:p>
      <w:pPr>
        <w:pStyle w:val="normal1"/>
        <w:rPr/>
      </w:pPr>
      <w:r>
        <w:rPr/>
        <w:t>Lors de la réception d’une demande de création, d’annulation de commande ou de devis, les données transmises par WOOP sont structurées selon son propre modèle de données. Le middleware effectue alors un mapping pour transformer ces données au format attendu par le modèle de données de la Standard API.</w:t>
      </w:r>
    </w:p>
    <w:p>
      <w:pPr>
        <w:pStyle w:val="normal1"/>
        <w:rPr/>
      </w:pPr>
      <w:r>
        <w:rPr/>
        <w:t>Le modèle de données de la Standard API, décrit en détail dans la section 3.2.1.3 - Modèle de données de la commande “Standard API”, est mappé avec les champs provenant des requêtes WOOP. Cette transformation garantit la conformité des commandes sur le Middleware XL EDS.</w:t>
      </w:r>
    </w:p>
    <w:p>
      <w:pPr>
        <w:pStyle w:val="normal1"/>
        <w:rPr/>
      </w:pPr>
      <w:r>
        <w:rPr/>
        <w:t>Le tableau ci-dessous présente en détail le mapping des différents champs entre le modèle WOOP et celui de la Standard API :</w:t>
      </w:r>
    </w:p>
    <w:p>
      <w:pPr>
        <w:pStyle w:val="normal1"/>
        <w:rPr/>
      </w:pPr>
      <w:r>
        <w:rPr/>
      </w:r>
    </w:p>
    <w:tbl>
      <w:tblPr>
        <w:tblStyle w:val="Table29"/>
        <w:tblW w:w="11025" w:type="dxa"/>
        <w:jc w:val="left"/>
        <w:tblInd w:w="-951" w:type="dxa"/>
        <w:tblLayout w:type="fixed"/>
        <w:tblCellMar>
          <w:top w:w="0" w:type="dxa"/>
          <w:left w:w="40" w:type="dxa"/>
          <w:bottom w:w="0" w:type="dxa"/>
          <w:right w:w="40" w:type="dxa"/>
        </w:tblCellMar>
        <w:tblLook w:val="0600"/>
      </w:tblPr>
      <w:tblGrid>
        <w:gridCol w:w="1544"/>
        <w:gridCol w:w="1576"/>
        <w:gridCol w:w="3840"/>
        <w:gridCol w:w="1650"/>
        <w:gridCol w:w="1034"/>
        <w:gridCol w:w="1380"/>
      </w:tblGrid>
      <w:tr>
        <w:trPr>
          <w:tblHeader w:val="true"/>
          <w:trHeight w:val="315" w:hRule="atLeast"/>
        </w:trPr>
        <w:tc>
          <w:tcPr>
            <w:tcW w:w="3120" w:type="dxa"/>
            <w:gridSpan w:val="2"/>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Attribut Standard API</w:t>
            </w:r>
          </w:p>
        </w:tc>
        <w:tc>
          <w:tcPr>
            <w:tcW w:w="3840" w:type="dxa"/>
            <w:tcBorders>
              <w:top w:val="single" w:sz="8" w:space="0" w:color="000000"/>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Description</w:t>
            </w:r>
          </w:p>
        </w:tc>
        <w:tc>
          <w:tcPr>
            <w:tcW w:w="4064" w:type="dxa"/>
            <w:gridSpan w:val="3"/>
            <w:tcBorders>
              <w:top w:val="single" w:sz="8" w:space="0" w:color="000000"/>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Attribut WOOP</w:t>
            </w:r>
          </w:p>
        </w:tc>
      </w:tr>
      <w:tr>
        <w:trPr>
          <w:trHeight w:val="315" w:hRule="atLeast"/>
        </w:trPr>
        <w:tc>
          <w:tcPr>
            <w:tcW w:w="154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Référence de la commande</w:t>
            </w:r>
          </w:p>
        </w:tc>
        <w:tc>
          <w:tcPr>
            <w:tcW w:w="1576"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Identifiant unique interne Middleware</w:t>
            </w:r>
          </w:p>
        </w:tc>
        <w:tc>
          <w:tcPr>
            <w:tcW w:w="16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deliveryId</w:t>
            </w:r>
          </w:p>
        </w:tc>
        <w:tc>
          <w:tcPr>
            <w:tcW w:w="1034"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1380"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154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quoteId</w:t>
            </w:r>
          </w:p>
        </w:tc>
        <w:tc>
          <w:tcPr>
            <w:tcW w:w="1576"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quoteId</w:t>
            </w:r>
          </w:p>
        </w:tc>
        <w:tc>
          <w:tcPr>
            <w:tcW w:w="1034"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1380"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154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Type</w:t>
            </w:r>
          </w:p>
        </w:tc>
        <w:tc>
          <w:tcPr>
            <w:tcW w:w="1576"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Interprété depuis le champ “Service”:</w:t>
            </w:r>
          </w:p>
          <w:p>
            <w:pPr>
              <w:pStyle w:val="normal1"/>
              <w:widowControl w:val="false"/>
              <w:numPr>
                <w:ilvl w:val="0"/>
                <w:numId w:val="4"/>
              </w:numPr>
              <w:spacing w:lineRule="auto" w:line="240" w:before="0" w:after="0"/>
              <w:ind w:hanging="283" w:left="425" w:right="0"/>
              <w:rPr>
                <w:sz w:val="20"/>
                <w:szCs w:val="20"/>
              </w:rPr>
            </w:pPr>
            <w:r>
              <w:rPr>
                <w:sz w:val="20"/>
                <w:szCs w:val="20"/>
              </w:rPr>
              <w:t>Type = Pickup s’il y a le service “SERVICE_RETURN”</w:t>
            </w:r>
          </w:p>
        </w:tc>
        <w:tc>
          <w:tcPr>
            <w:tcW w:w="1650"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1034"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1380"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154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Prestation</w:t>
            </w:r>
          </w:p>
        </w:tc>
        <w:tc>
          <w:tcPr>
            <w:tcW w:w="1576"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Interprétée depuis le champ interval</w:t>
            </w:r>
          </w:p>
        </w:tc>
        <w:tc>
          <w:tcPr>
            <w:tcW w:w="1650"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1034"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1380"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154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Client reference</w:t>
            </w:r>
          </w:p>
        </w:tc>
        <w:tc>
          <w:tcPr>
            <w:tcW w:w="1576"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Référence interne chez le client</w:t>
            </w:r>
          </w:p>
        </w:tc>
        <w:tc>
          <w:tcPr>
            <w:tcW w:w="16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referenceNumber</w:t>
            </w:r>
          </w:p>
        </w:tc>
        <w:tc>
          <w:tcPr>
            <w:tcW w:w="1034"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1380"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154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Canal</w:t>
            </w:r>
          </w:p>
        </w:tc>
        <w:tc>
          <w:tcPr>
            <w:tcW w:w="1576"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interprété depuis le champ “value” pour :</w:t>
            </w:r>
          </w:p>
          <w:p>
            <w:pPr>
              <w:pStyle w:val="normal1"/>
              <w:widowControl w:val="false"/>
              <w:spacing w:lineRule="auto" w:line="240" w:before="0" w:after="0"/>
              <w:ind w:hanging="0" w:left="0" w:right="0"/>
              <w:rPr>
                <w:sz w:val="20"/>
                <w:szCs w:val="20"/>
              </w:rPr>
            </w:pPr>
            <w:r>
              <w:rPr>
                <w:sz w:val="20"/>
                <w:szCs w:val="20"/>
              </w:rPr>
              <w:t>“</w:t>
            </w:r>
            <w:r>
              <w:rPr>
                <w:sz w:val="20"/>
                <w:szCs w:val="20"/>
              </w:rPr>
              <w:t>tags / Key” = “pricing”</w:t>
            </w:r>
          </w:p>
        </w:tc>
        <w:tc>
          <w:tcPr>
            <w:tcW w:w="16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tags</w:t>
            </w:r>
          </w:p>
        </w:tc>
        <w:tc>
          <w:tcPr>
            <w:tcW w:w="103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value</w:t>
            </w:r>
          </w:p>
        </w:tc>
        <w:tc>
          <w:tcPr>
            <w:tcW w:w="1380"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154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Items</w:t>
            </w:r>
          </w:p>
        </w:tc>
        <w:tc>
          <w:tcPr>
            <w:tcW w:w="1576"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reference</w:t>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packages</w:t>
            </w:r>
          </w:p>
        </w:tc>
        <w:tc>
          <w:tcPr>
            <w:tcW w:w="103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references</w:t>
            </w:r>
          </w:p>
        </w:tc>
        <w:tc>
          <w:tcPr>
            <w:tcW w:w="138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reference</w:t>
            </w:r>
          </w:p>
        </w:tc>
      </w:tr>
      <w:tr>
        <w:trPr>
          <w:trHeight w:val="315" w:hRule="atLeast"/>
        </w:trPr>
        <w:tc>
          <w:tcPr>
            <w:tcW w:w="154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Items</w:t>
            </w:r>
          </w:p>
        </w:tc>
        <w:tc>
          <w:tcPr>
            <w:tcW w:w="1576"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name</w:t>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1034"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1380"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154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Items</w:t>
            </w:r>
          </w:p>
        </w:tc>
        <w:tc>
          <w:tcPr>
            <w:tcW w:w="1576"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type</w:t>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1034"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1380"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154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Items</w:t>
            </w:r>
          </w:p>
        </w:tc>
        <w:tc>
          <w:tcPr>
            <w:tcW w:w="1576"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description</w:t>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1034"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1380"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154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Items</w:t>
            </w:r>
          </w:p>
        </w:tc>
        <w:tc>
          <w:tcPr>
            <w:tcW w:w="1576"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quantity</w:t>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packages</w:t>
            </w:r>
          </w:p>
        </w:tc>
        <w:tc>
          <w:tcPr>
            <w:tcW w:w="103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quantity</w:t>
            </w:r>
          </w:p>
        </w:tc>
        <w:tc>
          <w:tcPr>
            <w:tcW w:w="1380"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154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Items</w:t>
            </w:r>
          </w:p>
        </w:tc>
        <w:tc>
          <w:tcPr>
            <w:tcW w:w="1576"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width</w:t>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packages</w:t>
            </w:r>
          </w:p>
        </w:tc>
        <w:tc>
          <w:tcPr>
            <w:tcW w:w="103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width</w:t>
            </w:r>
          </w:p>
        </w:tc>
        <w:tc>
          <w:tcPr>
            <w:tcW w:w="138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value</w:t>
            </w:r>
          </w:p>
        </w:tc>
      </w:tr>
      <w:tr>
        <w:trPr>
          <w:trHeight w:val="315" w:hRule="atLeast"/>
        </w:trPr>
        <w:tc>
          <w:tcPr>
            <w:tcW w:w="154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Items</w:t>
            </w:r>
          </w:p>
        </w:tc>
        <w:tc>
          <w:tcPr>
            <w:tcW w:w="1576"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length</w:t>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packages</w:t>
            </w:r>
          </w:p>
        </w:tc>
        <w:tc>
          <w:tcPr>
            <w:tcW w:w="103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lenght</w:t>
            </w:r>
          </w:p>
        </w:tc>
        <w:tc>
          <w:tcPr>
            <w:tcW w:w="138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value</w:t>
            </w:r>
          </w:p>
        </w:tc>
      </w:tr>
      <w:tr>
        <w:trPr>
          <w:trHeight w:val="315" w:hRule="atLeast"/>
        </w:trPr>
        <w:tc>
          <w:tcPr>
            <w:tcW w:w="154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Items</w:t>
            </w:r>
          </w:p>
        </w:tc>
        <w:tc>
          <w:tcPr>
            <w:tcW w:w="1576"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height</w:t>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packages</w:t>
            </w:r>
          </w:p>
        </w:tc>
        <w:tc>
          <w:tcPr>
            <w:tcW w:w="103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height</w:t>
            </w:r>
          </w:p>
        </w:tc>
        <w:tc>
          <w:tcPr>
            <w:tcW w:w="138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value</w:t>
            </w:r>
          </w:p>
        </w:tc>
      </w:tr>
      <w:tr>
        <w:trPr>
          <w:trHeight w:val="315" w:hRule="atLeast"/>
        </w:trPr>
        <w:tc>
          <w:tcPr>
            <w:tcW w:w="154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Items</w:t>
            </w:r>
          </w:p>
        </w:tc>
        <w:tc>
          <w:tcPr>
            <w:tcW w:w="1576"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price</w:t>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1034"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1380"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154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Items</w:t>
            </w:r>
          </w:p>
        </w:tc>
        <w:tc>
          <w:tcPr>
            <w:tcW w:w="1576"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services</w:t>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Applicables à tous les articles de la commande</w:t>
            </w:r>
          </w:p>
        </w:tc>
        <w:tc>
          <w:tcPr>
            <w:tcW w:w="1650" w:type="dxa"/>
            <w:vMerge w:val="restart"/>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services</w:t>
            </w:r>
          </w:p>
        </w:tc>
        <w:tc>
          <w:tcPr>
            <w:tcW w:w="1034" w:type="dxa"/>
            <w:vMerge w:val="restart"/>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1380" w:type="dxa"/>
            <w:vMerge w:val="restart"/>
            <w:tcBorders>
              <w:top w:val="single" w:sz="8" w:space="0" w:color="CCCCCC"/>
              <w:left w:val="single" w:sz="8" w:space="0" w:color="CCCCCC"/>
              <w:bottom w:val="single" w:sz="6"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154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Service</w:t>
            </w:r>
          </w:p>
        </w:tc>
        <w:tc>
          <w:tcPr>
            <w:tcW w:w="1576"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vMerge w:val="continue"/>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034" w:type="dxa"/>
            <w:vMerge w:val="continue"/>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380" w:type="dxa"/>
            <w:vMerge w:val="continue"/>
            <w:tcBorders>
              <w:top w:val="single" w:sz="8" w:space="0" w:color="000000"/>
              <w:left w:val="single" w:sz="8" w:space="0" w:color="000000"/>
              <w:bottom w:val="single" w:sz="6" w:space="0" w:color="000000"/>
              <w:right w:val="single" w:sz="6"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1544" w:type="dxa"/>
            <w:vMerge w:val="restart"/>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addresses</w:t>
            </w:r>
          </w:p>
        </w:tc>
        <w:tc>
          <w:tcPr>
            <w:tcW w:w="1576" w:type="dxa"/>
            <w:vMerge w:val="restart"/>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address</w:t>
            </w:r>
          </w:p>
        </w:tc>
        <w:tc>
          <w:tcPr>
            <w:tcW w:w="3840" w:type="dxa"/>
            <w:vMerge w:val="restart"/>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delivery / picking</w:t>
            </w:r>
          </w:p>
        </w:tc>
        <w:tc>
          <w:tcPr>
            <w:tcW w:w="103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location</w:t>
            </w:r>
          </w:p>
        </w:tc>
        <w:tc>
          <w:tcPr>
            <w:tcW w:w="1380" w:type="dxa"/>
            <w:tcBorders>
              <w:top w:val="single" w:sz="8" w:space="0" w:color="000000"/>
              <w:left w:val="single" w:sz="8" w:space="0" w:color="000000"/>
              <w:bottom w:val="single" w:sz="6" w:space="0" w:color="000000"/>
              <w:right w:val="single" w:sz="6"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addressLine1</w:t>
            </w:r>
          </w:p>
        </w:tc>
      </w:tr>
      <w:tr>
        <w:trPr>
          <w:trHeight w:val="315" w:hRule="atLeast"/>
        </w:trPr>
        <w:tc>
          <w:tcPr>
            <w:tcW w:w="1544" w:type="dxa"/>
            <w:vMerge w:val="continue"/>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576" w:type="dxa"/>
            <w:vMerge w:val="continue"/>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3840" w:type="dxa"/>
            <w:vMerge w:val="continue"/>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delivery / picking</w:t>
            </w:r>
          </w:p>
        </w:tc>
        <w:tc>
          <w:tcPr>
            <w:tcW w:w="103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location</w:t>
            </w:r>
          </w:p>
        </w:tc>
        <w:tc>
          <w:tcPr>
            <w:tcW w:w="1380" w:type="dxa"/>
            <w:tcBorders>
              <w:top w:val="single" w:sz="6" w:space="0" w:color="000000"/>
              <w:left w:val="single" w:sz="8" w:space="0" w:color="000000"/>
              <w:bottom w:val="single" w:sz="6" w:space="0" w:color="000000"/>
              <w:right w:val="single" w:sz="6"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addressLine2</w:t>
            </w:r>
          </w:p>
        </w:tc>
      </w:tr>
      <w:tr>
        <w:trPr>
          <w:trHeight w:val="315" w:hRule="atLeast"/>
        </w:trPr>
        <w:tc>
          <w:tcPr>
            <w:tcW w:w="1544" w:type="dxa"/>
            <w:vMerge w:val="continue"/>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576" w:type="dxa"/>
            <w:vMerge w:val="continue"/>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3840" w:type="dxa"/>
            <w:vMerge w:val="continue"/>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delivery / picking</w:t>
            </w:r>
          </w:p>
        </w:tc>
        <w:tc>
          <w:tcPr>
            <w:tcW w:w="103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location</w:t>
            </w:r>
          </w:p>
        </w:tc>
        <w:tc>
          <w:tcPr>
            <w:tcW w:w="1380" w:type="dxa"/>
            <w:tcBorders>
              <w:top w:val="single" w:sz="6" w:space="0" w:color="000000"/>
              <w:left w:val="single" w:sz="8" w:space="0" w:color="000000"/>
              <w:bottom w:val="single" w:sz="6" w:space="0" w:color="000000"/>
              <w:right w:val="single" w:sz="6"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country</w:t>
            </w:r>
          </w:p>
        </w:tc>
      </w:tr>
      <w:tr>
        <w:trPr>
          <w:trHeight w:val="315" w:hRule="atLeast"/>
        </w:trPr>
        <w:tc>
          <w:tcPr>
            <w:tcW w:w="1544" w:type="dxa"/>
            <w:vMerge w:val="continue"/>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576" w:type="dxa"/>
            <w:vMerge w:val="continue"/>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3840" w:type="dxa"/>
            <w:vMerge w:val="continue"/>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delivery / picking</w:t>
            </w:r>
          </w:p>
        </w:tc>
        <w:tc>
          <w:tcPr>
            <w:tcW w:w="103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location</w:t>
            </w:r>
          </w:p>
        </w:tc>
        <w:tc>
          <w:tcPr>
            <w:tcW w:w="1380" w:type="dxa"/>
            <w:tcBorders>
              <w:top w:val="single" w:sz="6" w:space="0" w:color="000000"/>
              <w:left w:val="single" w:sz="8" w:space="0" w:color="000000"/>
              <w:bottom w:val="single" w:sz="6" w:space="0" w:color="000000"/>
              <w:right w:val="single" w:sz="6"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city</w:t>
            </w:r>
          </w:p>
        </w:tc>
      </w:tr>
      <w:tr>
        <w:trPr>
          <w:trHeight w:val="315" w:hRule="atLeast"/>
        </w:trPr>
        <w:tc>
          <w:tcPr>
            <w:tcW w:w="1544" w:type="dxa"/>
            <w:vMerge w:val="continue"/>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576" w:type="dxa"/>
            <w:vMerge w:val="continue"/>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3840" w:type="dxa"/>
            <w:vMerge w:val="continue"/>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delivery / picking</w:t>
            </w:r>
          </w:p>
        </w:tc>
        <w:tc>
          <w:tcPr>
            <w:tcW w:w="103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location</w:t>
            </w:r>
          </w:p>
        </w:tc>
        <w:tc>
          <w:tcPr>
            <w:tcW w:w="1380" w:type="dxa"/>
            <w:tcBorders>
              <w:top w:val="single" w:sz="6" w:space="0" w:color="000000"/>
              <w:left w:val="single" w:sz="8" w:space="0" w:color="000000"/>
              <w:bottom w:val="single" w:sz="6" w:space="0" w:color="000000"/>
              <w:right w:val="single" w:sz="6"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district</w:t>
            </w:r>
          </w:p>
        </w:tc>
      </w:tr>
      <w:tr>
        <w:trPr>
          <w:trHeight w:val="315" w:hRule="atLeast"/>
        </w:trPr>
        <w:tc>
          <w:tcPr>
            <w:tcW w:w="1544" w:type="dxa"/>
            <w:vMerge w:val="continue"/>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576" w:type="dxa"/>
            <w:vMerge w:val="continue"/>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3840" w:type="dxa"/>
            <w:vMerge w:val="continue"/>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delivery / picking</w:t>
            </w:r>
          </w:p>
        </w:tc>
        <w:tc>
          <w:tcPr>
            <w:tcW w:w="103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location</w:t>
            </w:r>
          </w:p>
        </w:tc>
        <w:tc>
          <w:tcPr>
            <w:tcW w:w="1380" w:type="dxa"/>
            <w:tcBorders>
              <w:top w:val="single" w:sz="6" w:space="0" w:color="000000"/>
              <w:left w:val="single" w:sz="8" w:space="0" w:color="000000"/>
              <w:bottom w:val="single" w:sz="8" w:space="0" w:color="000000"/>
              <w:right w:val="single" w:sz="6"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postalCode</w:t>
            </w:r>
          </w:p>
        </w:tc>
      </w:tr>
      <w:tr>
        <w:trPr>
          <w:trHeight w:val="315" w:hRule="atLeast"/>
        </w:trPr>
        <w:tc>
          <w:tcPr>
            <w:tcW w:w="1544" w:type="dxa"/>
            <w:vMerge w:val="restart"/>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addresses</w:t>
            </w:r>
          </w:p>
        </w:tc>
        <w:tc>
          <w:tcPr>
            <w:tcW w:w="1576" w:type="dxa"/>
            <w:vMerge w:val="restart"/>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additionalAddress</w:t>
            </w:r>
          </w:p>
        </w:tc>
        <w:tc>
          <w:tcPr>
            <w:tcW w:w="3840" w:type="dxa"/>
            <w:vMerge w:val="restart"/>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delivery / picking</w:t>
            </w:r>
          </w:p>
        </w:tc>
        <w:tc>
          <w:tcPr>
            <w:tcW w:w="103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b/>
                <w:bCs/>
                <w:color w:val="473821"/>
                <w:sz w:val="20"/>
                <w:szCs w:val="20"/>
              </w:rPr>
            </w:pPr>
            <w:r>
              <w:rPr>
                <w:sz w:val="20"/>
                <w:szCs w:val="20"/>
              </w:rPr>
              <w:t>location</w:t>
            </w:r>
          </w:p>
        </w:tc>
        <w:tc>
          <w:tcPr>
            <w:tcW w:w="138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doorCode</w:t>
            </w:r>
          </w:p>
        </w:tc>
      </w:tr>
      <w:tr>
        <w:trPr>
          <w:trHeight w:val="315" w:hRule="atLeast"/>
        </w:trPr>
        <w:tc>
          <w:tcPr>
            <w:tcW w:w="1544" w:type="dxa"/>
            <w:vMerge w:val="continue"/>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576" w:type="dxa"/>
            <w:vMerge w:val="continue"/>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3840" w:type="dxa"/>
            <w:vMerge w:val="continue"/>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delivery / picking</w:t>
            </w:r>
          </w:p>
        </w:tc>
        <w:tc>
          <w:tcPr>
            <w:tcW w:w="103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b/>
                <w:bCs/>
                <w:color w:val="473821"/>
                <w:sz w:val="20"/>
                <w:szCs w:val="20"/>
              </w:rPr>
            </w:pPr>
            <w:r>
              <w:rPr>
                <w:b/>
                <w:bCs/>
                <w:color w:val="473821"/>
                <w:sz w:val="20"/>
                <w:szCs w:val="20"/>
              </w:rPr>
              <w:t>infos</w:t>
            </w:r>
          </w:p>
        </w:tc>
        <w:tc>
          <w:tcPr>
            <w:tcW w:w="1380"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154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addresses</w:t>
            </w:r>
          </w:p>
        </w:tc>
        <w:tc>
          <w:tcPr>
            <w:tcW w:w="1576"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Elevator</w:t>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delivery / picking</w:t>
            </w:r>
          </w:p>
        </w:tc>
        <w:tc>
          <w:tcPr>
            <w:tcW w:w="103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location</w:t>
            </w:r>
          </w:p>
        </w:tc>
        <w:tc>
          <w:tcPr>
            <w:tcW w:w="1380" w:type="dxa"/>
            <w:tcBorders>
              <w:top w:val="single" w:sz="8" w:space="0" w:color="000000"/>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elevator</w:t>
            </w:r>
          </w:p>
        </w:tc>
      </w:tr>
      <w:tr>
        <w:trPr>
          <w:trHeight w:val="315" w:hRule="atLeast"/>
        </w:trPr>
        <w:tc>
          <w:tcPr>
            <w:tcW w:w="154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addresses</w:t>
            </w:r>
          </w:p>
        </w:tc>
        <w:tc>
          <w:tcPr>
            <w:tcW w:w="1576"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Floor</w:t>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delivery / picking</w:t>
            </w:r>
          </w:p>
        </w:tc>
        <w:tc>
          <w:tcPr>
            <w:tcW w:w="103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location</w:t>
            </w:r>
          </w:p>
        </w:tc>
        <w:tc>
          <w:tcPr>
            <w:tcW w:w="138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floor</w:t>
            </w:r>
          </w:p>
        </w:tc>
      </w:tr>
      <w:tr>
        <w:trPr>
          <w:trHeight w:val="315" w:hRule="atLeast"/>
        </w:trPr>
        <w:tc>
          <w:tcPr>
            <w:tcW w:w="154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addresses</w:t>
            </w:r>
          </w:p>
        </w:tc>
        <w:tc>
          <w:tcPr>
            <w:tcW w:w="1576"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lat</w:t>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delivery / picking</w:t>
            </w:r>
          </w:p>
        </w:tc>
        <w:tc>
          <w:tcPr>
            <w:tcW w:w="103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location</w:t>
            </w:r>
          </w:p>
        </w:tc>
        <w:tc>
          <w:tcPr>
            <w:tcW w:w="138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coordinates</w:t>
            </w:r>
          </w:p>
        </w:tc>
      </w:tr>
      <w:tr>
        <w:trPr>
          <w:trHeight w:val="315" w:hRule="atLeast"/>
        </w:trPr>
        <w:tc>
          <w:tcPr>
            <w:tcW w:w="154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addresses</w:t>
            </w:r>
          </w:p>
        </w:tc>
        <w:tc>
          <w:tcPr>
            <w:tcW w:w="1576"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lng</w:t>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delivery / picking</w:t>
            </w:r>
          </w:p>
        </w:tc>
        <w:tc>
          <w:tcPr>
            <w:tcW w:w="103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location</w:t>
            </w:r>
          </w:p>
        </w:tc>
        <w:tc>
          <w:tcPr>
            <w:tcW w:w="138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coordinates</w:t>
            </w:r>
          </w:p>
        </w:tc>
      </w:tr>
      <w:tr>
        <w:trPr>
          <w:trHeight w:val="315" w:hRule="atLeast"/>
        </w:trPr>
        <w:tc>
          <w:tcPr>
            <w:tcW w:w="154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timeWindow</w:t>
            </w:r>
          </w:p>
        </w:tc>
        <w:tc>
          <w:tcPr>
            <w:tcW w:w="1576"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start</w:t>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delivery / picking</w:t>
            </w:r>
          </w:p>
        </w:tc>
        <w:tc>
          <w:tcPr>
            <w:tcW w:w="103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interval</w:t>
            </w:r>
          </w:p>
        </w:tc>
        <w:tc>
          <w:tcPr>
            <w:tcW w:w="138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start</w:t>
            </w:r>
          </w:p>
        </w:tc>
      </w:tr>
      <w:tr>
        <w:trPr>
          <w:trHeight w:val="315" w:hRule="atLeast"/>
        </w:trPr>
        <w:tc>
          <w:tcPr>
            <w:tcW w:w="154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timeWindow</w:t>
            </w:r>
          </w:p>
        </w:tc>
        <w:tc>
          <w:tcPr>
            <w:tcW w:w="1576"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end</w:t>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delivery / picking</w:t>
            </w:r>
          </w:p>
        </w:tc>
        <w:tc>
          <w:tcPr>
            <w:tcW w:w="103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interval</w:t>
            </w:r>
          </w:p>
        </w:tc>
        <w:tc>
          <w:tcPr>
            <w:tcW w:w="138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end</w:t>
            </w:r>
          </w:p>
        </w:tc>
      </w:tr>
      <w:tr>
        <w:trPr>
          <w:trHeight w:val="315" w:hRule="atLeast"/>
        </w:trPr>
        <w:tc>
          <w:tcPr>
            <w:tcW w:w="154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Magasin</w:t>
            </w:r>
          </w:p>
        </w:tc>
        <w:tc>
          <w:tcPr>
            <w:tcW w:w="1576"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retailer</w:t>
            </w:r>
          </w:p>
        </w:tc>
        <w:tc>
          <w:tcPr>
            <w:tcW w:w="103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code</w:t>
            </w:r>
          </w:p>
        </w:tc>
        <w:tc>
          <w:tcPr>
            <w:tcW w:w="1380"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154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consommateur</w:t>
            </w:r>
          </w:p>
        </w:tc>
        <w:tc>
          <w:tcPr>
            <w:tcW w:w="1576"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Prénom</w:t>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delivery / picking</w:t>
            </w:r>
          </w:p>
        </w:tc>
        <w:tc>
          <w:tcPr>
            <w:tcW w:w="103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b/>
                <w:bCs/>
                <w:color w:val="473821"/>
                <w:sz w:val="20"/>
                <w:szCs w:val="20"/>
              </w:rPr>
            </w:pPr>
            <w:r>
              <w:rPr>
                <w:sz w:val="20"/>
                <w:szCs w:val="20"/>
              </w:rPr>
              <w:t>location</w:t>
            </w:r>
          </w:p>
        </w:tc>
        <w:tc>
          <w:tcPr>
            <w:tcW w:w="138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firstName</w:t>
            </w:r>
          </w:p>
        </w:tc>
      </w:tr>
      <w:tr>
        <w:trPr>
          <w:trHeight w:val="315" w:hRule="atLeast"/>
        </w:trPr>
        <w:tc>
          <w:tcPr>
            <w:tcW w:w="154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consommateur</w:t>
            </w:r>
          </w:p>
        </w:tc>
        <w:tc>
          <w:tcPr>
            <w:tcW w:w="1576"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Nom</w:t>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delivery / picking</w:t>
            </w:r>
          </w:p>
        </w:tc>
        <w:tc>
          <w:tcPr>
            <w:tcW w:w="103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b/>
                <w:bCs/>
                <w:color w:val="473821"/>
                <w:sz w:val="20"/>
                <w:szCs w:val="20"/>
              </w:rPr>
            </w:pPr>
            <w:r>
              <w:rPr>
                <w:sz w:val="20"/>
                <w:szCs w:val="20"/>
              </w:rPr>
              <w:t>location</w:t>
            </w:r>
          </w:p>
        </w:tc>
        <w:tc>
          <w:tcPr>
            <w:tcW w:w="138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lastName</w:t>
            </w:r>
          </w:p>
        </w:tc>
      </w:tr>
      <w:tr>
        <w:trPr>
          <w:trHeight w:val="315" w:hRule="atLeast"/>
        </w:trPr>
        <w:tc>
          <w:tcPr>
            <w:tcW w:w="154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consommateur final</w:t>
            </w:r>
          </w:p>
        </w:tc>
        <w:tc>
          <w:tcPr>
            <w:tcW w:w="1576"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Email</w:t>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delivery / picking</w:t>
            </w:r>
          </w:p>
        </w:tc>
        <w:tc>
          <w:tcPr>
            <w:tcW w:w="103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b/>
                <w:bCs/>
                <w:color w:val="FF0000"/>
                <w:sz w:val="20"/>
                <w:szCs w:val="20"/>
              </w:rPr>
            </w:pPr>
            <w:r>
              <w:rPr>
                <w:sz w:val="20"/>
                <w:szCs w:val="20"/>
              </w:rPr>
              <w:t>location</w:t>
            </w:r>
          </w:p>
        </w:tc>
        <w:tc>
          <w:tcPr>
            <w:tcW w:w="138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email</w:t>
            </w:r>
          </w:p>
        </w:tc>
      </w:tr>
      <w:tr>
        <w:trPr>
          <w:trHeight w:val="315" w:hRule="atLeast"/>
        </w:trPr>
        <w:tc>
          <w:tcPr>
            <w:tcW w:w="154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consommateur</w:t>
            </w:r>
          </w:p>
        </w:tc>
        <w:tc>
          <w:tcPr>
            <w:tcW w:w="1576"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N° de téléphone</w:t>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delivery / picking</w:t>
            </w:r>
          </w:p>
        </w:tc>
        <w:tc>
          <w:tcPr>
            <w:tcW w:w="103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b/>
                <w:bCs/>
                <w:color w:val="FF0000"/>
                <w:sz w:val="20"/>
                <w:szCs w:val="20"/>
              </w:rPr>
            </w:pPr>
            <w:r>
              <w:rPr>
                <w:sz w:val="20"/>
                <w:szCs w:val="20"/>
              </w:rPr>
              <w:t>location</w:t>
            </w:r>
          </w:p>
        </w:tc>
        <w:tc>
          <w:tcPr>
            <w:tcW w:w="138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phone</w:t>
            </w:r>
          </w:p>
        </w:tc>
      </w:tr>
    </w:tbl>
    <w:p>
      <w:pPr>
        <w:pStyle w:val="normal1"/>
        <w:rPr/>
      </w:pPr>
      <w:r>
        <w:rPr/>
      </w:r>
    </w:p>
    <w:p>
      <w:pPr>
        <w:pStyle w:val="normal1"/>
        <w:rPr/>
      </w:pPr>
      <w:r>
        <w:rPr>
          <w:b/>
          <w:bCs/>
          <w:u w:val="single"/>
        </w:rPr>
        <w:t xml:space="preserve">Remarque </w:t>
      </w:r>
      <w:r>
        <w:rPr/>
        <w:t xml:space="preserve">: </w:t>
      </w:r>
    </w:p>
    <w:p>
      <w:pPr>
        <w:pStyle w:val="normal1"/>
        <w:numPr>
          <w:ilvl w:val="0"/>
          <w:numId w:val="1"/>
        </w:numPr>
        <w:ind w:hanging="270" w:left="-141" w:right="-607"/>
        <w:rPr/>
      </w:pPr>
      <w:r>
        <w:rPr/>
        <w:t>Ce tableau ne présente que les champs reçus de WOOP. Toutes les données du modèle de la Standard API qui ne figurent pas dans ce tableau sont soit interprétées par le middleware, soit fournies directement par Urbantz.</w:t>
      </w:r>
    </w:p>
    <w:p>
      <w:pPr>
        <w:pStyle w:val="normal1"/>
        <w:numPr>
          <w:ilvl w:val="0"/>
          <w:numId w:val="1"/>
        </w:numPr>
        <w:spacing w:before="0" w:after="200"/>
        <w:ind w:hanging="270" w:left="-141" w:right="-607"/>
        <w:rPr/>
      </w:pPr>
      <w:r>
        <w:rPr/>
        <w:t>Le client WOOP ne prend pas en charge la modification directe des commandes via une requête bien spécifique. Pour toute mise à jour des données de la commande, il envoie successivement deux requêtes au middleware XL EDS : d’abord une annulation de la commande existante, puis une création d’une nouvelle commande en conservant la même référence client.</w:t>
        <w:br/>
      </w:r>
    </w:p>
    <w:p>
      <w:pPr>
        <w:pStyle w:val="BodyText"/>
        <w:spacing w:before="0" w:after="200"/>
        <w:ind w:hanging="270" w:left="-141" w:right="-607"/>
        <w:rPr/>
      </w:pPr>
      <w:r>
        <w:rPr>
          <w:rFonts w:ascii="Open Sans;Arial;sans-serif" w:hAnsi="Open Sans;Arial;sans-serif"/>
          <w:b w:val="false"/>
          <w:i w:val="false"/>
          <w:caps w:val="false"/>
          <w:smallCaps w:val="false"/>
          <w:color w:val="000000"/>
          <w:spacing w:val="0"/>
          <w:sz w:val="21"/>
        </w:rPr>
        <w:t xml:space="preserve"> </w:t>
      </w:r>
      <w:r>
        <w:rPr>
          <w:rFonts w:ascii="Open Sans;Arial;sans-serif" w:hAnsi="Open Sans;Arial;sans-serif"/>
          <w:b w:val="false"/>
          <w:i w:val="false"/>
          <w:caps w:val="false"/>
          <w:smallCaps w:val="false"/>
          <w:color w:val="000000"/>
          <w:spacing w:val="0"/>
          <w:sz w:val="21"/>
        </w:rPr>
        <w:t>Un numéro de téléphone par défaut est implémenté sur le middleware afin de permettre la régularisation des commandes, ce champ étant obligatoire lors de leur création. Ainsi, lorsque CENTIRO communique des commandes avec le champ téléphone :</w:t>
      </w:r>
    </w:p>
    <w:p>
      <w:pPr>
        <w:pStyle w:val="normal1"/>
        <w:numPr>
          <w:ilvl w:val="1"/>
          <w:numId w:val="5"/>
        </w:numPr>
        <w:ind w:hanging="360" w:left="708" w:right="-607"/>
        <w:rPr>
          <w:u w:val="none"/>
        </w:rPr>
      </w:pPr>
      <w:r>
        <w:rPr/>
        <w:t>vide</w:t>
      </w:r>
    </w:p>
    <w:p>
      <w:pPr>
        <w:pStyle w:val="normal1"/>
        <w:numPr>
          <w:ilvl w:val="1"/>
          <w:numId w:val="5"/>
        </w:numPr>
        <w:ind w:hanging="360" w:left="708" w:right="-607"/>
        <w:rPr>
          <w:u w:val="none"/>
        </w:rPr>
      </w:pPr>
      <w:r>
        <w:rPr/>
        <w:t>au format invalide</w:t>
      </w:r>
    </w:p>
    <w:p>
      <w:pPr>
        <w:pStyle w:val="normal1"/>
        <w:numPr>
          <w:ilvl w:val="1"/>
          <w:numId w:val="5"/>
        </w:numPr>
        <w:ind w:hanging="360" w:left="708" w:right="-607"/>
        <w:rPr>
          <w:u w:val="none"/>
        </w:rPr>
      </w:pPr>
      <w:r>
        <w:rPr/>
        <w:t>ou renseigné comme null,</w:t>
      </w:r>
    </w:p>
    <w:p>
      <w:pPr>
        <w:pStyle w:val="normal1"/>
        <w:ind w:hanging="0" w:left="0" w:right="-607"/>
        <w:rPr/>
      </w:pPr>
      <w:r>
        <w:rPr/>
        <w:t>Il est remplacé automatiquement par le numéro par défaut : +33123456789.</w:t>
      </w:r>
    </w:p>
    <w:p>
      <w:pPr>
        <w:pStyle w:val="normal1"/>
        <w:numPr>
          <w:ilvl w:val="0"/>
          <w:numId w:val="5"/>
        </w:numPr>
        <w:ind w:hanging="270" w:left="-141" w:right="-607"/>
        <w:rPr/>
      </w:pPr>
      <w:r>
        <w:rPr/>
        <w:t>Ce tableau ne présente que les champs reçus de CENTIRO. Toutes les données du modèle de la Standard API qui ne figurent pas dans ce tableau sont soit interprétées par le middleware, soit fournies directement par Urbantz.</w:t>
      </w:r>
    </w:p>
    <w:p>
      <w:pPr>
        <w:pStyle w:val="normal1"/>
        <w:ind w:hanging="0" w:left="-141" w:right="-607"/>
        <w:rPr/>
      </w:pPr>
      <w:r>
        <w:rPr/>
      </w:r>
    </w:p>
    <w:p>
      <w:pPr>
        <w:pStyle w:val="normal1"/>
        <w:rPr/>
      </w:pPr>
      <w:r>
        <w:rPr>
          <w:i/>
          <w:iCs/>
          <w:u w:val="single"/>
        </w:rPr>
        <w:t>Gestion des EDI Centiro</w:t>
      </w:r>
    </w:p>
    <w:p>
      <w:pPr>
        <w:pStyle w:val="normal1"/>
        <w:keepNext w:val="false"/>
        <w:keepLines w:val="false"/>
        <w:pageBreakBefore w:val="false"/>
        <w:widowControl/>
        <w:shd w:val="clear" w:fill="auto"/>
        <w:spacing w:lineRule="auto" w:line="276" w:before="0" w:after="200"/>
        <w:ind w:hanging="0" w:left="0" w:right="-607"/>
        <w:jc w:val="left"/>
        <w:rPr>
          <w:b/>
          <w:bCs/>
          <w:u w:val="single"/>
        </w:rPr>
      </w:pPr>
      <w:r>
        <w:rPr>
          <w:b/>
          <w:bCs/>
          <w:u w:val="single"/>
        </w:rPr>
        <w:t>Flux EDI envoyés par Centiro</w:t>
      </w:r>
    </w:p>
    <w:p>
      <w:pPr>
        <w:pStyle w:val="normal1"/>
        <w:rPr/>
      </w:pPr>
      <w:r>
        <w:rPr/>
        <w:t>Pour chaque commande, deux EDI distincts sont envoyés :</w:t>
      </w:r>
    </w:p>
    <w:p>
      <w:pPr>
        <w:pStyle w:val="normal1"/>
        <w:keepNext w:val="false"/>
        <w:keepLines w:val="false"/>
        <w:pageBreakBefore w:val="false"/>
        <w:widowControl/>
        <w:numPr>
          <w:ilvl w:val="0"/>
          <w:numId w:val="5"/>
        </w:numPr>
        <w:shd w:val="clear" w:fill="auto"/>
        <w:spacing w:lineRule="auto" w:line="276" w:before="0" w:after="200"/>
        <w:ind w:hanging="270" w:left="-141" w:right="-607"/>
        <w:jc w:val="left"/>
        <w:rPr/>
      </w:pPr>
      <w:r>
        <w:rPr/>
        <w:t>EDI1 :</w:t>
      </w:r>
    </w:p>
    <w:p>
      <w:pPr>
        <w:pStyle w:val="normal1"/>
        <w:keepNext w:val="false"/>
        <w:keepLines w:val="false"/>
        <w:pageBreakBefore w:val="false"/>
        <w:widowControl/>
        <w:numPr>
          <w:ilvl w:val="1"/>
          <w:numId w:val="5"/>
        </w:numPr>
        <w:shd w:val="clear" w:fill="auto"/>
        <w:spacing w:lineRule="auto" w:line="276" w:before="0" w:after="200"/>
        <w:ind w:hanging="360" w:left="708" w:right="-607"/>
        <w:jc w:val="left"/>
        <w:rPr/>
      </w:pPr>
      <w:r>
        <w:rPr/>
        <w:t>Notifie la création de la commande.</w:t>
      </w:r>
    </w:p>
    <w:p>
      <w:pPr>
        <w:pStyle w:val="normal1"/>
        <w:keepNext w:val="false"/>
        <w:keepLines w:val="false"/>
        <w:pageBreakBefore w:val="false"/>
        <w:widowControl/>
        <w:numPr>
          <w:ilvl w:val="1"/>
          <w:numId w:val="5"/>
        </w:numPr>
        <w:shd w:val="clear" w:fill="auto"/>
        <w:spacing w:lineRule="auto" w:line="276" w:before="0" w:after="200"/>
        <w:ind w:hanging="360" w:left="708" w:right="-607"/>
        <w:jc w:val="left"/>
        <w:rPr/>
      </w:pPr>
      <w:r>
        <w:rPr/>
        <w:t>Contient des données partielles et incomplètes.</w:t>
      </w:r>
    </w:p>
    <w:p>
      <w:pPr>
        <w:pStyle w:val="normal1"/>
        <w:keepNext w:val="false"/>
        <w:keepLines w:val="false"/>
        <w:pageBreakBefore w:val="false"/>
        <w:widowControl/>
        <w:numPr>
          <w:ilvl w:val="0"/>
          <w:numId w:val="5"/>
        </w:numPr>
        <w:shd w:val="clear" w:fill="auto"/>
        <w:spacing w:lineRule="auto" w:line="276" w:before="0" w:after="200"/>
        <w:ind w:hanging="270" w:left="-141" w:right="-607"/>
        <w:jc w:val="left"/>
        <w:rPr/>
      </w:pPr>
      <w:r>
        <w:rPr/>
        <w:t>EDI2 :</w:t>
      </w:r>
    </w:p>
    <w:p>
      <w:pPr>
        <w:pStyle w:val="normal1"/>
        <w:keepNext w:val="false"/>
        <w:keepLines w:val="false"/>
        <w:pageBreakBefore w:val="false"/>
        <w:widowControl/>
        <w:numPr>
          <w:ilvl w:val="1"/>
          <w:numId w:val="5"/>
        </w:numPr>
        <w:shd w:val="clear" w:fill="auto"/>
        <w:spacing w:lineRule="auto" w:line="276" w:before="0" w:after="200"/>
        <w:ind w:hanging="360" w:left="708" w:right="-607"/>
        <w:jc w:val="left"/>
        <w:rPr/>
      </w:pPr>
      <w:r>
        <w:rPr/>
        <w:t>Complète et met à jour les données de la commande déjà créée.</w:t>
      </w:r>
    </w:p>
    <w:p>
      <w:pPr>
        <w:pStyle w:val="normal1"/>
        <w:keepNext w:val="false"/>
        <w:keepLines w:val="false"/>
        <w:pageBreakBefore w:val="false"/>
        <w:widowControl/>
        <w:numPr>
          <w:ilvl w:val="1"/>
          <w:numId w:val="5"/>
        </w:numPr>
        <w:shd w:val="clear" w:fill="auto"/>
        <w:spacing w:lineRule="auto" w:line="276" w:before="0" w:after="200"/>
        <w:ind w:hanging="360" w:left="708" w:right="-607"/>
        <w:jc w:val="left"/>
        <w:rPr/>
      </w:pPr>
      <w:r>
        <w:rPr/>
        <w:t>Contient notamment :</w:t>
      </w:r>
    </w:p>
    <w:p>
      <w:pPr>
        <w:pStyle w:val="normal1"/>
        <w:keepNext w:val="false"/>
        <w:keepLines w:val="false"/>
        <w:pageBreakBefore w:val="false"/>
        <w:widowControl/>
        <w:numPr>
          <w:ilvl w:val="2"/>
          <w:numId w:val="5"/>
        </w:numPr>
        <w:shd w:val="clear" w:fill="auto"/>
        <w:spacing w:lineRule="auto" w:line="276" w:before="0" w:after="200"/>
        <w:ind w:hanging="285" w:left="1275" w:right="-607"/>
        <w:jc w:val="left"/>
        <w:rPr/>
      </w:pPr>
      <w:r>
        <w:rPr/>
        <w:t>les informations détaillées des orderlines,</w:t>
      </w:r>
    </w:p>
    <w:p>
      <w:pPr>
        <w:pStyle w:val="normal1"/>
        <w:keepNext w:val="false"/>
        <w:keepLines w:val="false"/>
        <w:pageBreakBefore w:val="false"/>
        <w:widowControl/>
        <w:numPr>
          <w:ilvl w:val="2"/>
          <w:numId w:val="5"/>
        </w:numPr>
        <w:shd w:val="clear" w:fill="auto"/>
        <w:spacing w:lineRule="auto" w:line="276" w:before="0" w:after="200"/>
        <w:ind w:hanging="285" w:left="1275" w:right="-607"/>
        <w:jc w:val="left"/>
        <w:rPr/>
      </w:pPr>
      <w:r>
        <w:rPr/>
        <w:t>les parcelNumber de chaque article de la commande.</w:t>
      </w:r>
    </w:p>
    <w:p>
      <w:pPr>
        <w:pStyle w:val="normal1"/>
        <w:keepNext w:val="false"/>
        <w:keepLines w:val="false"/>
        <w:pageBreakBefore w:val="false"/>
        <w:widowControl/>
        <w:numPr>
          <w:ilvl w:val="2"/>
          <w:numId w:val="5"/>
        </w:numPr>
        <w:shd w:val="clear" w:fill="auto"/>
        <w:spacing w:lineRule="auto" w:line="276" w:before="0" w:after="200"/>
        <w:ind w:hanging="285" w:left="1275" w:right="-607"/>
        <w:jc w:val="left"/>
        <w:rPr/>
      </w:pPr>
      <w:r>
        <w:rPr/>
        <w:t>Est interprété par le middleware comme une modification de commande.</w:t>
      </w:r>
    </w:p>
    <w:p>
      <w:pPr>
        <w:pStyle w:val="BodyText"/>
        <w:spacing w:before="0" w:after="200"/>
        <w:ind w:hanging="270" w:left="-141" w:right="-607"/>
        <w:rPr>
          <w:rFonts w:ascii="Open Sans;Arial;sans-serif" w:hAnsi="Open Sans;Arial;sans-serif"/>
          <w:b w:val="false"/>
          <w:i w:val="false"/>
          <w:caps w:val="false"/>
          <w:smallCaps w:val="false"/>
          <w:color w:val="000000"/>
          <w:spacing w:val="0"/>
          <w:sz w:val="21"/>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 w:name="Arial">
    <w:charset w:val="01"/>
    <w:family w:val="roman"/>
    <w:pitch w:val="variable"/>
  </w:font>
  <w:font w:name="Open Sans">
    <w:altName w:val="Arial"/>
    <w:charset w:val="01"/>
    <w:family w:val="auto"/>
    <w:pitch w:val="default"/>
  </w:font>
  <w:font w:name="Wingdings">
    <w:charset w:val="02"/>
    <w:family w:val="auto"/>
    <w:pitch w:val="default"/>
  </w:font>
  <w:font w:name="Wingdings 2">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141" w:hanging="270"/>
      </w:pPr>
      <w:rPr>
        <w:rFonts w:ascii="Wingdings" w:hAnsi="Wingdings" w:cs="Wingdings" w:hint="default"/>
        <w:u w:val="none"/>
      </w:rPr>
    </w:lvl>
    <w:lvl w:ilvl="1">
      <w:start w:val="1"/>
      <w:numFmt w:val="bullet"/>
      <w:lvlText w:val=""/>
      <w:lvlJc w:val="left"/>
      <w:pPr>
        <w:tabs>
          <w:tab w:val="num" w:pos="0"/>
        </w:tabs>
        <w:ind w:left="708" w:hanging="360"/>
      </w:pPr>
      <w:rPr>
        <w:rFonts w:ascii="Wingdings 2" w:hAnsi="Wingdings 2" w:cs="Wingdings 2" w:hint="default"/>
        <w:u w:val="none"/>
      </w:rPr>
    </w:lvl>
    <w:lvl w:ilvl="2">
      <w:start w:val="1"/>
      <w:numFmt w:val="bullet"/>
      <w:lvlText w:val="■"/>
      <w:lvlJc w:val="left"/>
      <w:pPr>
        <w:tabs>
          <w:tab w:val="num" w:pos="0"/>
        </w:tabs>
        <w:ind w:left="1275" w:hanging="285"/>
      </w:pPr>
      <w:rPr>
        <w:rFonts w:ascii="OpenSymbol" w:hAnsi="OpenSymbol" w:cs="OpenSymbol" w:hint="default"/>
        <w:u w:val="none"/>
      </w:rPr>
    </w:lvl>
    <w:lvl w:ilvl="3">
      <w:start w:val="1"/>
      <w:numFmt w:val="bullet"/>
      <w:lvlText w:val=""/>
      <w:lvlJc w:val="left"/>
      <w:pPr>
        <w:tabs>
          <w:tab w:val="num" w:pos="0"/>
        </w:tabs>
        <w:ind w:left="1275" w:hanging="285"/>
      </w:pPr>
      <w:rPr>
        <w:rFonts w:ascii="Wingdings" w:hAnsi="Wingdings" w:cs="Wingdings" w:hint="default"/>
        <w:u w:val="none"/>
      </w:rPr>
    </w:lvl>
    <w:lvl w:ilvl="4">
      <w:start w:val="1"/>
      <w:numFmt w:val="bullet"/>
      <w:lvlText w:val=""/>
      <w:lvlJc w:val="left"/>
      <w:pPr>
        <w:tabs>
          <w:tab w:val="num" w:pos="0"/>
        </w:tabs>
        <w:ind w:left="1700" w:hanging="360"/>
      </w:pPr>
      <w:rPr>
        <w:rFonts w:ascii="Wingdings 2" w:hAnsi="Wingdings 2" w:cs="Wingdings 2" w:hint="default"/>
        <w:u w:val="none"/>
      </w:rPr>
    </w:lvl>
    <w:lvl w:ilvl="5">
      <w:start w:val="1"/>
      <w:numFmt w:val="bullet"/>
      <w:lvlText w:val="■"/>
      <w:lvlJc w:val="left"/>
      <w:pPr>
        <w:tabs>
          <w:tab w:val="num" w:pos="0"/>
        </w:tabs>
        <w:ind w:left="2267" w:hanging="283"/>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141" w:hanging="285"/>
      </w:pPr>
      <w:rPr>
        <w:rFonts w:ascii="OpenSymbol" w:hAnsi="OpenSymbol" w:cs="OpenSymbol" w:hint="default"/>
        <w:u w:val="none"/>
      </w:rPr>
    </w:lvl>
  </w:abstractNum>
  <w:abstractNum w:abstractNumId="2">
    <w:lvl w:ilvl="0">
      <w:start w:val="1"/>
      <w:numFmt w:val="decimal"/>
      <w:lvlText w:val="%1."/>
      <w:lvlJc w:val="right"/>
      <w:pPr>
        <w:tabs>
          <w:tab w:val="num" w:pos="0"/>
        </w:tabs>
        <w:ind w:left="850" w:firstLine="435"/>
      </w:pPr>
      <w:rPr>
        <w:u w:val="none"/>
      </w:rPr>
    </w:lvl>
    <w:lvl w:ilvl="1">
      <w:start w:val="1"/>
      <w:numFmt w:val="decimal"/>
      <w:lvlText w:val="%1.%2."/>
      <w:lvlJc w:val="right"/>
      <w:pPr>
        <w:tabs>
          <w:tab w:val="num" w:pos="0"/>
        </w:tabs>
        <w:ind w:left="283" w:hanging="134"/>
      </w:pPr>
      <w:rPr>
        <w:u w:val="none"/>
      </w:rPr>
    </w:lvl>
    <w:lvl w:ilvl="2">
      <w:start w:val="1"/>
      <w:numFmt w:val="decimal"/>
      <w:lvlText w:val="%1.%2.%3."/>
      <w:lvlJc w:val="right"/>
      <w:pPr>
        <w:tabs>
          <w:tab w:val="num" w:pos="0"/>
        </w:tabs>
        <w:ind w:left="708" w:hanging="135"/>
      </w:pPr>
      <w:rPr>
        <w:sz w:val="22"/>
        <w:u w:val="none"/>
        <w:szCs w:val="22"/>
      </w:rPr>
    </w:lvl>
    <w:lvl w:ilvl="3">
      <w:start w:val="1"/>
      <w:numFmt w:val="decimal"/>
      <w:lvlText w:val="%1.%2.%3.%4."/>
      <w:lvlJc w:val="right"/>
      <w:pPr>
        <w:tabs>
          <w:tab w:val="num" w:pos="0"/>
        </w:tabs>
        <w:ind w:left="1133" w:hanging="284"/>
      </w:pPr>
      <w:rPr>
        <w:u w:val="none"/>
      </w:rPr>
    </w:lvl>
    <w:lvl w:ilvl="4">
      <w:start w:val="1"/>
      <w:numFmt w:val="decimal"/>
      <w:lvlText w:val="%1.%2.%3.%4.%5."/>
      <w:lvlJc w:val="right"/>
      <w:pPr>
        <w:tabs>
          <w:tab w:val="num" w:pos="0"/>
        </w:tabs>
        <w:ind w:left="4320" w:hanging="360"/>
      </w:pPr>
      <w:rPr>
        <w:u w:val="none"/>
      </w:rPr>
    </w:lvl>
    <w:lvl w:ilvl="5">
      <w:start w:val="1"/>
      <w:numFmt w:val="decimal"/>
      <w:lvlText w:val="%1.%2.%3.%4.%5.%6."/>
      <w:lvlJc w:val="right"/>
      <w:pPr>
        <w:tabs>
          <w:tab w:val="num" w:pos="0"/>
        </w:tabs>
        <w:ind w:left="5040" w:hanging="360"/>
      </w:pPr>
      <w:rPr>
        <w:u w:val="none"/>
      </w:rPr>
    </w:lvl>
    <w:lvl w:ilvl="6">
      <w:start w:val="1"/>
      <w:numFmt w:val="decimal"/>
      <w:lvlText w:val="%1.%2.%3.%4.%5.%6.%7."/>
      <w:lvlJc w:val="right"/>
      <w:pPr>
        <w:tabs>
          <w:tab w:val="num" w:pos="0"/>
        </w:tabs>
        <w:ind w:left="5760" w:hanging="360"/>
      </w:pPr>
      <w:rPr>
        <w:u w:val="none"/>
      </w:rPr>
    </w:lvl>
    <w:lvl w:ilvl="7">
      <w:start w:val="1"/>
      <w:numFmt w:val="decimal"/>
      <w:lvlText w:val="%1.%2.%3.%4.%5.%6.%7.%8."/>
      <w:lvlJc w:val="right"/>
      <w:pPr>
        <w:tabs>
          <w:tab w:val="num" w:pos="0"/>
        </w:tabs>
        <w:ind w:left="6480" w:hanging="360"/>
      </w:pPr>
      <w:rPr>
        <w:u w:val="none"/>
      </w:rPr>
    </w:lvl>
    <w:lvl w:ilvl="8">
      <w:start w:val="1"/>
      <w:numFmt w:val="decimal"/>
      <w:lvlText w:val="%1.%2.%3.%4.%5.%6.%7.%8.%9."/>
      <w:lvlJc w:val="right"/>
      <w:pPr>
        <w:tabs>
          <w:tab w:val="num" w:pos="0"/>
        </w:tabs>
        <w:ind w:left="7200" w:hanging="360"/>
      </w:pPr>
      <w:rPr>
        <w:u w:val="none"/>
      </w:rPr>
    </w:lvl>
  </w:abstractNum>
  <w:abstractNum w:abstractNumId="3">
    <w:lvl w:ilvl="0">
      <w:start w:val="1"/>
      <w:numFmt w:val="lowerLetter"/>
      <w:lvlText w:val="%1)- "/>
      <w:lvlJc w:val="left"/>
      <w:pPr>
        <w:tabs>
          <w:tab w:val="num" w:pos="0"/>
        </w:tabs>
        <w:ind w:left="1440" w:hanging="360"/>
      </w:pPr>
      <w:rPr>
        <w:u w:val="none"/>
      </w:rPr>
    </w:lvl>
    <w:lvl w:ilvl="1">
      <w:start w:val="1"/>
      <w:numFmt w:val="lowerLetter"/>
      <w:lvlText w:val="%2-"/>
      <w:lvlJc w:val="left"/>
      <w:pPr>
        <w:tabs>
          <w:tab w:val="num" w:pos="0"/>
        </w:tabs>
        <w:ind w:left="2160" w:hanging="360"/>
      </w:pPr>
      <w:rPr>
        <w:u w:val="none"/>
      </w:rPr>
    </w:lvl>
    <w:lvl w:ilvl="2">
      <w:start w:val="1"/>
      <w:numFmt w:val="lowerRoman"/>
      <w:lvlText w:val="%3-"/>
      <w:lvlJc w:val="right"/>
      <w:pPr>
        <w:tabs>
          <w:tab w:val="num" w:pos="0"/>
        </w:tabs>
        <w:ind w:left="2880" w:hanging="360"/>
      </w:pPr>
      <w:rPr>
        <w:u w:val="none"/>
      </w:rPr>
    </w:lvl>
    <w:lvl w:ilvl="3">
      <w:start w:val="1"/>
      <w:numFmt w:val="decimal"/>
      <w:lvlText w:val="%4-"/>
      <w:lvlJc w:val="left"/>
      <w:pPr>
        <w:tabs>
          <w:tab w:val="num" w:pos="0"/>
        </w:tabs>
        <w:ind w:left="3600" w:hanging="360"/>
      </w:pPr>
      <w:rPr>
        <w:u w:val="none"/>
      </w:rPr>
    </w:lvl>
    <w:lvl w:ilvl="4">
      <w:start w:val="1"/>
      <w:numFmt w:val="lowerLetter"/>
      <w:lvlText w:val="%5-"/>
      <w:lvlJc w:val="left"/>
      <w:pPr>
        <w:tabs>
          <w:tab w:val="num" w:pos="0"/>
        </w:tabs>
        <w:ind w:left="4320" w:hanging="360"/>
      </w:pPr>
      <w:rPr>
        <w:u w:val="none"/>
      </w:rPr>
    </w:lvl>
    <w:lvl w:ilvl="5">
      <w:start w:val="1"/>
      <w:numFmt w:val="lowerRoman"/>
      <w:lvlText w:val="%6-"/>
      <w:lvlJc w:val="right"/>
      <w:pPr>
        <w:tabs>
          <w:tab w:val="num" w:pos="0"/>
        </w:tabs>
        <w:ind w:left="5040" w:hanging="360"/>
      </w:pPr>
      <w:rPr>
        <w:u w:val="none"/>
      </w:rPr>
    </w:lvl>
    <w:lvl w:ilvl="6">
      <w:start w:val="1"/>
      <w:numFmt w:val="decimal"/>
      <w:lvlText w:val="%7-"/>
      <w:lvlJc w:val="left"/>
      <w:pPr>
        <w:tabs>
          <w:tab w:val="num" w:pos="0"/>
        </w:tabs>
        <w:ind w:left="5760" w:hanging="360"/>
      </w:pPr>
      <w:rPr>
        <w:u w:val="none"/>
      </w:rPr>
    </w:lvl>
    <w:lvl w:ilvl="7">
      <w:start w:val="1"/>
      <w:numFmt w:val="lowerLetter"/>
      <w:lvlText w:val="%8-"/>
      <w:lvlJc w:val="left"/>
      <w:pPr>
        <w:tabs>
          <w:tab w:val="num" w:pos="0"/>
        </w:tabs>
        <w:ind w:left="6480" w:hanging="360"/>
      </w:pPr>
      <w:rPr>
        <w:u w:val="none"/>
      </w:rPr>
    </w:lvl>
    <w:lvl w:ilvl="8">
      <w:start w:val="1"/>
      <w:numFmt w:val="lowerRoman"/>
      <w:lvlText w:val="%9-"/>
      <w:lvlJc w:val="right"/>
      <w:pPr>
        <w:tabs>
          <w:tab w:val="num" w:pos="0"/>
        </w:tabs>
        <w:ind w:left="7200" w:hanging="360"/>
      </w:pPr>
      <w:rPr>
        <w:u w:val="none"/>
      </w:rPr>
    </w:lvl>
  </w:abstractNum>
  <w:abstractNum w:abstractNumId="4">
    <w:lvl w:ilvl="0">
      <w:start w:val="1"/>
      <w:numFmt w:val="bullet"/>
      <w:lvlText w:val=""/>
      <w:lvlJc w:val="left"/>
      <w:pPr>
        <w:tabs>
          <w:tab w:val="num" w:pos="0"/>
        </w:tabs>
        <w:ind w:left="425" w:hanging="283"/>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Noto Sans Devanagari"/>
      <w:color w:val="auto"/>
      <w:kern w:val="2"/>
      <w:sz w:val="24"/>
      <w:szCs w:val="24"/>
      <w:lang w:val="en-US" w:eastAsia="zh-CN" w:bidi="hi-IN"/>
    </w:rPr>
  </w:style>
  <w:style w:type="paragraph" w:styleId="Heading4">
    <w:name w:val="Heading 4"/>
    <w:basedOn w:val="normal1"/>
    <w:next w:val="normal1"/>
    <w:qFormat/>
    <w:pPr>
      <w:keepNext w:val="true"/>
      <w:keepLines/>
      <w:spacing w:lineRule="auto" w:line="240" w:before="320" w:after="200"/>
      <w:ind w:hanging="285" w:left="1133"/>
    </w:pPr>
    <w:rPr>
      <w:i/>
      <w:iCs/>
      <w:color w:val="434343"/>
      <w:u w:val="single"/>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name w:val="normal1"/>
    <w:qFormat/>
    <w:pPr>
      <w:widowControl/>
      <w:suppressAutoHyphens w:val="true"/>
      <w:bidi w:val="0"/>
      <w:spacing w:lineRule="auto" w:line="276" w:before="0" w:after="200"/>
      <w:ind w:hanging="0" w:left="-566" w:right="-607"/>
      <w:jc w:val="left"/>
    </w:pPr>
    <w:rPr>
      <w:rFonts w:ascii="Arial" w:hAnsi="Arial" w:eastAsia="Arial" w:cs="Arial"/>
      <w:color w:val="auto"/>
      <w:kern w:val="0"/>
      <w:sz w:val="22"/>
      <w:szCs w:val="22"/>
      <w:lang w:val="fr-FR"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LibreOffice/24.2.7.2$Linux_X86_64 LibreOffice_project/420$Build-2</Application>
  <AppVersion>15.0000</AppVersion>
  <Pages>2</Pages>
  <Words>455</Words>
  <Characters>2573</Characters>
  <CharactersWithSpaces>2881</CharactersWithSpaces>
  <Paragraphs>147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2025-11-13T00:42:59Z</dcterms:created>
  <dc:creator/>
  <dc:description/>
  <dc:language>en-US</dc:language>
  <cp:lastModifiedBy/>
  <dcterms:modified xsi:type="dcterms:W3CDTF">2025-11-13T20:16:29Z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