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0A92" w:rsidRDefault="00181759">
      <w:pPr>
        <w:shd w:val="clear" w:color="auto" w:fill="8B0000"/>
      </w:pPr>
      <w:r>
        <w:rPr>
          <w:sz w:val="20"/>
          <w:szCs w:val="20"/>
        </w:rPr>
        <w:t xml:space="preserve"> </w:t>
      </w:r>
    </w:p>
    <w:p w:rsidR="00B20A92" w:rsidRDefault="00181759">
      <w:pPr>
        <w:shd w:val="clear" w:color="auto" w:fill="8B0000"/>
        <w:jc w:val="center"/>
      </w:pPr>
      <w:r>
        <w:rPr>
          <w:rFonts w:ascii="Georgia" w:eastAsia="Georgia" w:hAnsi="Georgia" w:cs="Georgia"/>
          <w:caps/>
          <w:color w:val="D98880"/>
          <w:spacing w:val="60"/>
          <w:sz w:val="18"/>
          <w:szCs w:val="18"/>
        </w:rPr>
        <w:t>UNIVERSITÉ HASSAN II DE CASABLANCA</w:t>
      </w:r>
    </w:p>
    <w:p w:rsidR="00B20A92" w:rsidRDefault="00181759">
      <w:pPr>
        <w:shd w:val="clear" w:color="auto" w:fill="8B0000"/>
        <w:jc w:val="center"/>
      </w:pPr>
      <w:r>
        <w:rPr>
          <w:rFonts w:ascii="Georgia" w:eastAsia="Georgia" w:hAnsi="Georgia" w:cs="Georgia"/>
          <w:i/>
          <w:iCs/>
          <w:color w:val="D98880"/>
          <w:sz w:val="17"/>
          <w:szCs w:val="17"/>
        </w:rPr>
        <w:t>École Normale Supérieure de l'Enseignement Technique  ·  ENSET Mohammadia</w:t>
      </w:r>
    </w:p>
    <w:p w:rsidR="00B20A92" w:rsidRDefault="00181759">
      <w:pPr>
        <w:shd w:val="clear" w:color="auto" w:fill="8B0000"/>
      </w:pPr>
      <w:r>
        <w:rPr>
          <w:sz w:val="14"/>
          <w:szCs w:val="14"/>
        </w:rPr>
        <w:t xml:space="preserve"> </w:t>
      </w:r>
    </w:p>
    <w:p w:rsidR="00B20A92" w:rsidRDefault="00181759">
      <w:pPr>
        <w:shd w:val="clear" w:color="auto" w:fill="C0392B"/>
      </w:pPr>
      <w:r>
        <w:rPr>
          <w:sz w:val="10"/>
          <w:szCs w:val="10"/>
        </w:rPr>
        <w:t xml:space="preserve"> </w:t>
      </w:r>
    </w:p>
    <w:p w:rsidR="00B20A92" w:rsidRDefault="00181759">
      <w:pPr>
        <w:shd w:val="clear" w:color="auto" w:fill="6E1A14"/>
        <w:jc w:val="center"/>
      </w:pPr>
      <w:r>
        <w:rPr>
          <w:rFonts w:ascii="Courier New" w:eastAsia="Courier New" w:hAnsi="Courier New" w:cs="Courier New"/>
          <w:color w:val="7B241C"/>
          <w:spacing w:val="20"/>
          <w:sz w:val="14"/>
          <w:szCs w:val="14"/>
        </w:rPr>
        <w:t>· · · · · · · · · · · · · · · · · · · · · · · · · · · · · · · · · · · · · · · · · · · · · · ·</w:t>
      </w:r>
    </w:p>
    <w:p w:rsidR="00B20A92" w:rsidRDefault="00181759" w:rsidP="00181759">
      <w:pPr>
        <w:shd w:val="clear" w:color="auto" w:fill="6E1A14"/>
        <w:jc w:val="center"/>
      </w:pPr>
      <w:r>
        <w:rPr>
          <w:rFonts w:ascii="Courier New" w:eastAsia="Courier New" w:hAnsi="Courier New" w:cs="Courier New"/>
          <w:color w:val="C0392B"/>
          <w:spacing w:val="20"/>
          <w:sz w:val="14"/>
          <w:szCs w:val="14"/>
        </w:rPr>
        <w:t>· · · · · ·  · · · · · · · · · · · · · · · · · · · · · · · · · · · · · · · · ·</w:t>
      </w:r>
    </w:p>
    <w:p w:rsidR="00B20A92" w:rsidRDefault="00181759">
      <w:pPr>
        <w:shd w:val="clear" w:color="auto" w:fill="6E1A14"/>
        <w:jc w:val="center"/>
      </w:pPr>
      <w:r>
        <w:rPr>
          <w:rFonts w:ascii="Courier New" w:eastAsia="Courier New" w:hAnsi="Courier New" w:cs="Courier New"/>
          <w:color w:val="C0392B"/>
          <w:spacing w:val="20"/>
          <w:sz w:val="14"/>
          <w:szCs w:val="14"/>
        </w:rPr>
        <w:t>· · · · · · · · ·  ■ ─ ■ ─ ■ ─ ■ ─ ■ ─ ■ ─ ■ ─ ■  · · · · · · · · ·</w:t>
      </w:r>
    </w:p>
    <w:p w:rsidR="00B20A92" w:rsidRDefault="00181759">
      <w:pPr>
        <w:shd w:val="clear" w:color="auto" w:fill="6E1A14"/>
        <w:jc w:val="center"/>
      </w:pPr>
      <w:r>
        <w:rPr>
          <w:rFonts w:ascii="Courier New" w:eastAsia="Courier New" w:hAnsi="Courier New" w:cs="Courier New"/>
          <w:color w:val="7B241C"/>
          <w:spacing w:val="20"/>
          <w:sz w:val="14"/>
          <w:szCs w:val="14"/>
        </w:rPr>
        <w:t>· · · · · · · · · · · · · · · · · · · · · · · · · · · · · · · · · · · · · · · · · · · · · · ·</w:t>
      </w:r>
    </w:p>
    <w:p w:rsidR="00B20A92" w:rsidRDefault="00181759">
      <w:pPr>
        <w:shd w:val="clear" w:color="auto" w:fill="C0392B"/>
      </w:pPr>
      <w:r>
        <w:rPr>
          <w:sz w:val="6"/>
          <w:szCs w:val="6"/>
        </w:rPr>
        <w:t xml:space="preserve"> </w:t>
      </w:r>
    </w:p>
    <w:p w:rsidR="00B20A92" w:rsidRDefault="00181759">
      <w:pPr>
        <w:shd w:val="clear" w:color="auto" w:fill="FFFFFF"/>
      </w:pPr>
      <w:r>
        <w:rPr>
          <w:sz w:val="40"/>
          <w:szCs w:val="40"/>
        </w:rPr>
        <w:t xml:space="preserve"> </w:t>
      </w:r>
    </w:p>
    <w:p w:rsidR="00B20A92" w:rsidRDefault="00181759">
      <w:pPr>
        <w:pBdr>
          <w:left w:val="single" w:sz="28" w:space="16" w:color="C0392B"/>
        </w:pBdr>
        <w:shd w:val="clear" w:color="auto" w:fill="FFFFFF"/>
        <w:ind w:left="600"/>
      </w:pPr>
      <w:r>
        <w:rPr>
          <w:rFonts w:ascii="Georgia" w:eastAsia="Georgia" w:hAnsi="Georgia" w:cs="Georgia"/>
          <w:b/>
          <w:bCs/>
          <w:caps/>
          <w:color w:val="C0392B"/>
          <w:spacing w:val="120"/>
          <w:sz w:val="20"/>
          <w:szCs w:val="20"/>
        </w:rPr>
        <w:t>MINI</w:t>
      </w:r>
      <w:r>
        <w:rPr>
          <w:rFonts w:ascii="Georgia" w:eastAsia="Georgia" w:hAnsi="Georgia" w:cs="Georgia"/>
          <w:caps/>
          <w:color w:val="922B21"/>
          <w:spacing w:val="80"/>
          <w:sz w:val="18"/>
          <w:szCs w:val="18"/>
        </w:rPr>
        <w:t xml:space="preserve">  —  PROJET  —  2025 / 2026</w:t>
      </w:r>
    </w:p>
    <w:p w:rsidR="00B20A92" w:rsidRDefault="00181759">
      <w:pPr>
        <w:shd w:val="clear" w:color="auto" w:fill="FFFFFF"/>
      </w:pPr>
      <w:r>
        <w:rPr>
          <w:sz w:val="20"/>
          <w:szCs w:val="20"/>
        </w:rPr>
        <w:t xml:space="preserve"> </w:t>
      </w:r>
    </w:p>
    <w:p w:rsidR="00B20A92" w:rsidRDefault="00181759">
      <w:pPr>
        <w:shd w:val="clear" w:color="auto" w:fill="FFFFFF"/>
        <w:ind w:left="600"/>
      </w:pPr>
      <w:r>
        <w:rPr>
          <w:rFonts w:ascii="Georgia" w:eastAsia="Georgia" w:hAnsi="Georgia" w:cs="Georgia"/>
          <w:b/>
          <w:bCs/>
          <w:color w:val="8B0000"/>
          <w:sz w:val="58"/>
          <w:szCs w:val="58"/>
        </w:rPr>
        <w:t>Planification</w:t>
      </w:r>
    </w:p>
    <w:p w:rsidR="00B20A92" w:rsidRDefault="00181759">
      <w:pPr>
        <w:shd w:val="clear" w:color="auto" w:fill="FFFFFF"/>
        <w:ind w:left="600"/>
      </w:pPr>
      <w:r>
        <w:rPr>
          <w:rFonts w:ascii="Georgia" w:eastAsia="Georgia" w:hAnsi="Georgia" w:cs="Georgia"/>
          <w:b/>
          <w:bCs/>
          <w:color w:val="8B0000"/>
          <w:sz w:val="58"/>
          <w:szCs w:val="58"/>
        </w:rPr>
        <w:t>robuste sur grille</w:t>
      </w:r>
    </w:p>
    <w:p w:rsidR="00B20A92" w:rsidRDefault="00181759">
      <w:pPr>
        <w:shd w:val="clear" w:color="auto" w:fill="FFFFFF"/>
      </w:pPr>
      <w:r>
        <w:rPr>
          <w:sz w:val="16"/>
          <w:szCs w:val="16"/>
        </w:rPr>
        <w:t xml:space="preserve"> </w:t>
      </w:r>
    </w:p>
    <w:p w:rsidR="00B20A92" w:rsidRDefault="00181759">
      <w:pPr>
        <w:shd w:val="clear" w:color="auto" w:fill="FFFFFF"/>
        <w:ind w:left="600"/>
      </w:pPr>
      <w:r>
        <w:rPr>
          <w:rFonts w:ascii="Georgia" w:eastAsia="Georgia" w:hAnsi="Georgia" w:cs="Georgia"/>
          <w:i/>
          <w:iCs/>
          <w:color w:val="C0392B"/>
          <w:sz w:val="28"/>
          <w:szCs w:val="28"/>
        </w:rPr>
        <w:t>A*  +  Chaînes de Markov</w:t>
      </w:r>
    </w:p>
    <w:p w:rsidR="00B20A92" w:rsidRDefault="00181759">
      <w:pPr>
        <w:shd w:val="clear" w:color="auto" w:fill="FFFFFF"/>
      </w:pPr>
      <w:r>
        <w:rPr>
          <w:sz w:val="40"/>
          <w:szCs w:val="40"/>
        </w:rPr>
        <w:t xml:space="preserve"> </w:t>
      </w:r>
    </w:p>
    <w:p w:rsidR="00B20A92" w:rsidRDefault="00181759">
      <w:pPr>
        <w:pBdr>
          <w:bottom w:val="single" w:sz="12" w:space="1" w:color="8B0000"/>
        </w:pBdr>
        <w:shd w:val="clear" w:color="auto" w:fill="FFFFFF"/>
      </w:pPr>
      <w:r>
        <w:rPr>
          <w:sz w:val="2"/>
          <w:szCs w:val="2"/>
        </w:rPr>
        <w:t xml:space="preserve"> </w:t>
      </w:r>
    </w:p>
    <w:p w:rsidR="00B20A92" w:rsidRDefault="00181759">
      <w:pPr>
        <w:pBdr>
          <w:bottom w:val="single" w:sz="4" w:space="1" w:color="C0392B"/>
        </w:pBdr>
        <w:shd w:val="clear" w:color="auto" w:fill="FFFFFF"/>
      </w:pPr>
      <w:r>
        <w:rPr>
          <w:sz w:val="6"/>
          <w:szCs w:val="6"/>
        </w:rPr>
        <w:t xml:space="preserve"> </w:t>
      </w:r>
    </w:p>
    <w:p w:rsidR="00B20A92" w:rsidRDefault="00181759">
      <w:pPr>
        <w:shd w:val="clear" w:color="auto" w:fill="FFFFFF"/>
      </w:pPr>
      <w:r>
        <w:rPr>
          <w:sz w:val="24"/>
          <w:szCs w:val="24"/>
        </w:rP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20A92">
        <w:tc>
          <w:tcPr>
            <w:tcW w:w="4819" w:type="dxa"/>
            <w:tcBorders>
              <w:top w:val="none" w:sz="0" w:space="0" w:color="FFFFFF"/>
              <w:left w:val="none" w:sz="0" w:space="0" w:color="FFFFFF"/>
              <w:bottom w:val="none" w:sz="0" w:space="0" w:color="FFFFFF"/>
              <w:right w:val="none" w:sz="0" w:space="0" w:color="FFFFFF"/>
            </w:tcBorders>
            <w:shd w:val="clear" w:color="auto" w:fill="FFFFFF"/>
            <w:tcMar>
              <w:top w:w="80" w:type="dxa"/>
              <w:left w:w="600" w:type="dxa"/>
              <w:bottom w:w="20" w:type="dxa"/>
              <w:right w:w="200" w:type="dxa"/>
            </w:tcMar>
          </w:tcPr>
          <w:p w:rsidR="00B20A92" w:rsidRDefault="00181759">
            <w:r>
              <w:rPr>
                <w:rFonts w:ascii="Georgia" w:eastAsia="Georgia" w:hAnsi="Georgia" w:cs="Georgia"/>
                <w:caps/>
                <w:color w:val="922B21"/>
                <w:spacing w:val="80"/>
                <w:sz w:val="16"/>
                <w:szCs w:val="16"/>
              </w:rPr>
              <w:t>ÉTUDIANT</w:t>
            </w:r>
          </w:p>
          <w:p w:rsidR="00B20A92" w:rsidRDefault="00181759">
            <w:r>
              <w:rPr>
                <w:rFonts w:ascii="Georgia" w:eastAsia="Georgia" w:hAnsi="Georgia" w:cs="Georgia"/>
                <w:b/>
                <w:bCs/>
                <w:color w:val="8B0000"/>
                <w:sz w:val="26"/>
                <w:szCs w:val="26"/>
              </w:rPr>
              <w:t>Oussama Felouach</w:t>
            </w:r>
          </w:p>
        </w:tc>
        <w:tc>
          <w:tcPr>
            <w:tcW w:w="4819" w:type="dxa"/>
            <w:tcBorders>
              <w:top w:val="none" w:sz="0" w:space="0" w:color="FFFFFF"/>
              <w:left w:val="single" w:sz="6" w:space="0" w:color="FADBD8"/>
              <w:bottom w:val="none" w:sz="0" w:space="0" w:color="FFFFFF"/>
              <w:right w:val="none" w:sz="0" w:space="0" w:color="FFFFFF"/>
            </w:tcBorders>
            <w:shd w:val="clear" w:color="auto" w:fill="FFFFFF"/>
            <w:tcMar>
              <w:top w:w="80" w:type="dxa"/>
              <w:left w:w="400" w:type="dxa"/>
              <w:bottom w:w="20" w:type="dxa"/>
              <w:right w:w="200" w:type="dxa"/>
            </w:tcMar>
          </w:tcPr>
          <w:p w:rsidR="00B20A92" w:rsidRDefault="00181759">
            <w:r>
              <w:rPr>
                <w:rFonts w:ascii="Georgia" w:eastAsia="Georgia" w:hAnsi="Georgia" w:cs="Georgia"/>
                <w:caps/>
                <w:color w:val="922B21"/>
                <w:spacing w:val="80"/>
                <w:sz w:val="16"/>
                <w:szCs w:val="16"/>
              </w:rPr>
              <w:t>ENCADRANT</w:t>
            </w:r>
          </w:p>
          <w:p w:rsidR="00B20A92" w:rsidRDefault="00181759">
            <w:r>
              <w:rPr>
                <w:rFonts w:ascii="Georgia" w:eastAsia="Georgia" w:hAnsi="Georgia" w:cs="Georgia"/>
                <w:color w:val="8B0000"/>
                <w:sz w:val="26"/>
                <w:szCs w:val="26"/>
              </w:rPr>
              <w:t>Pr. M. Mestari</w:t>
            </w:r>
          </w:p>
        </w:tc>
      </w:tr>
    </w:tbl>
    <w:p w:rsidR="00B20A92" w:rsidRDefault="00181759">
      <w:pPr>
        <w:shd w:val="clear" w:color="auto" w:fill="FFFFFF"/>
      </w:pPr>
      <w:r>
        <w:rPr>
          <w:sz w:val="40"/>
          <w:szCs w:val="40"/>
        </w:rPr>
        <w:t xml:space="preserve"> </w:t>
      </w:r>
    </w:p>
    <w:p w:rsidR="00B20A92" w:rsidRDefault="00181759">
      <w:pPr>
        <w:shd w:val="clear" w:color="auto" w:fill="8B0000"/>
      </w:pPr>
      <w:r>
        <w:rPr>
          <w:sz w:val="10"/>
          <w:szCs w:val="10"/>
        </w:rPr>
        <w:t xml:space="preserve"> </w:t>
      </w:r>
    </w:p>
    <w:p w:rsidR="00B20A92" w:rsidRDefault="00181759">
      <w:pPr>
        <w:shd w:val="clear" w:color="auto" w:fill="8B0000"/>
        <w:jc w:val="center"/>
      </w:pPr>
      <w:r>
        <w:rPr>
          <w:rFonts w:ascii="Georgia" w:eastAsia="Georgia" w:hAnsi="Georgia" w:cs="Georgia"/>
          <w:i/>
          <w:iCs/>
          <w:color w:val="D98880"/>
          <w:sz w:val="18"/>
          <w:szCs w:val="18"/>
        </w:rPr>
        <w:t>Année universitaire  2025 – 2026</w:t>
      </w:r>
      <w:r>
        <w:rPr>
          <w:rFonts w:ascii="Georgia" w:eastAsia="Georgia" w:hAnsi="Georgia" w:cs="Georgia"/>
          <w:color w:val="C0392B"/>
          <w:sz w:val="18"/>
          <w:szCs w:val="18"/>
        </w:rPr>
        <w:t xml:space="preserve">     ·     3 mars 2026</w:t>
      </w:r>
    </w:p>
    <w:p w:rsidR="00B20A92" w:rsidRDefault="00181759">
      <w:pPr>
        <w:shd w:val="clear" w:color="auto" w:fill="8B0000"/>
      </w:pPr>
      <w:r>
        <w:rPr>
          <w:sz w:val="10"/>
          <w:szCs w:val="10"/>
        </w:rPr>
        <w:t xml:space="preserve"> </w:t>
      </w:r>
    </w:p>
    <w:p w:rsidR="00B20A92" w:rsidRDefault="00181759">
      <w:pPr>
        <w:shd w:val="clear" w:color="auto" w:fill="C0392B"/>
      </w:pPr>
      <w:r>
        <w:rPr>
          <w:sz w:val="6"/>
          <w:szCs w:val="6"/>
        </w:rPr>
        <w:t xml:space="preserve"> </w:t>
      </w:r>
    </w:p>
    <w:p w:rsidR="00B20A92" w:rsidRDefault="00181759">
      <w:r>
        <w:br w:type="page"/>
      </w:r>
    </w:p>
    <w:p w:rsidR="00B20A92" w:rsidRDefault="00181759">
      <w:pPr>
        <w:spacing w:after="200"/>
      </w:pPr>
      <w:r>
        <w:rPr>
          <w:b/>
          <w:bCs/>
          <w:color w:val="8B0000"/>
          <w:sz w:val="32"/>
          <w:szCs w:val="32"/>
        </w:rPr>
        <w:lastRenderedPageBreak/>
        <w:t>Sommaire</w:t>
      </w:r>
    </w:p>
    <w:p w:rsidR="00B20A92" w:rsidRDefault="00B20A92">
      <w:pPr>
        <w:pBdr>
          <w:bottom w:val="single" w:sz="8" w:space="6" w:color="C0392B"/>
        </w:pBdr>
        <w:spacing w:after="120"/>
      </w:pPr>
      <w:bookmarkStart w:id="0" w:name="_GoBack"/>
      <w:bookmarkEnd w:id="0"/>
    </w:p>
    <w:sdt>
      <w:sdtPr>
        <w:alias w:val="Sommaire"/>
        <w:id w:val="1461852583"/>
      </w:sdtPr>
      <w:sdtEndPr/>
      <w:sdtContent>
        <w:p w:rsidR="00181759" w:rsidRDefault="00181759">
          <w:pPr>
            <w:pStyle w:val="TM1"/>
            <w:tabs>
              <w:tab w:val="right" w:leader="dot" w:pos="9628"/>
            </w:tabs>
            <w:rPr>
              <w:noProof/>
            </w:rPr>
          </w:pPr>
          <w:r>
            <w:fldChar w:fldCharType="begin"/>
            <w:instrText>TOC \h \o "1-2"</w:instrText>
            <w:fldChar w:fldCharType="separate"/>
          </w:r>
          <w:hyperlink w:anchor="_Toc223607422" w:history="1">
            <w:r>
              <w:rPr>
                <w:rStyle w:val="Lienhypertexte"/>
                <w:noProof/>
              </w:rPr>
              <w:t>1. Introduction et contexte</w:t>
            </w:r>
            <w:r>
              <w:rPr>
                <w:noProof/>
              </w:rPr>
              <w:tab/>
              <w:fldChar w:fldCharType="begin"/>
              <w:instrText xml:space="preserve"> PAGEREF _Toc223607422 \h </w:instrText>
              <w:fldChar w:fldCharType="separate"/>
              <w:t>3</w:t>
              <w:fldChar w:fldCharType="end"/>
            </w:r>
          </w:hyperlink>
        </w:p>
        <w:p w:rsidR="00181759" w:rsidRDefault="00801443">
          <w:pPr>
            <w:pStyle w:val="TM1"/>
            <w:tabs>
              <w:tab w:val="right" w:leader="dot" w:pos="9628"/>
            </w:tabs>
            <w:rPr>
              <w:noProof/>
            </w:rPr>
          </w:pPr>
          <w:hyperlink w:anchor="_Toc223607423" w:history="1">
            <w:r>
              <w:rPr>
                <w:rStyle w:val="Lienhypertexte"/>
                <w:noProof/>
              </w:rPr>
              <w:t>2. Modélisation mathématique</w:t>
            </w:r>
            <w:r>
              <w:rPr>
                <w:noProof/>
              </w:rPr>
              <w:tab/>
              <w:fldChar w:fldCharType="begin"/>
              <w:instrText xml:space="preserve"> PAGEREF _Toc223607423 \h </w:instrText>
              <w:fldChar w:fldCharType="separate"/>
              <w:t>3</w:t>
              <w:fldChar w:fldCharType="end"/>
            </w:r>
          </w:hyperlink>
        </w:p>
        <w:p w:rsidR="00181759" w:rsidRDefault="00801443">
          <w:pPr>
            <w:pStyle w:val="TM2"/>
            <w:tabs>
              <w:tab w:val="right" w:leader="dot" w:pos="9628"/>
            </w:tabs>
            <w:rPr>
              <w:noProof/>
            </w:rPr>
          </w:pPr>
          <w:hyperlink w:anchor="_Toc223607424" w:history="1">
            <w:r>
              <w:rPr>
                <w:rStyle w:val="Lienhypertexte"/>
                <w:noProof/>
              </w:rPr>
              <w:t>2.1 Espace d'états et graphe de recherche</w:t>
            </w:r>
            <w:r>
              <w:rPr>
                <w:noProof/>
              </w:rPr>
              <w:tab/>
              <w:fldChar w:fldCharType="begin"/>
              <w:instrText xml:space="preserve"> PAGEREF _Toc223607424 \h </w:instrText>
              <w:fldChar w:fldCharType="separate"/>
              <w:t>3</w:t>
              <w:fldChar w:fldCharType="end"/>
            </w:r>
          </w:hyperlink>
        </w:p>
        <w:p w:rsidR="00181759" w:rsidRDefault="00801443">
          <w:pPr>
            <w:pStyle w:val="TM2"/>
            <w:tabs>
              <w:tab w:val="right" w:leader="dot" w:pos="9628"/>
            </w:tabs>
            <w:rPr>
              <w:noProof/>
            </w:rPr>
          </w:pPr>
          <w:hyperlink w:anchor="_Toc223607425" w:history="1">
            <w:r>
              <w:rPr>
                <w:rStyle w:val="Lienhypertexte"/>
                <w:noProof/>
              </w:rPr>
              <w:t>2.2 Chaîne de Markov et incertitude d'action</w:t>
            </w:r>
            <w:r>
              <w:rPr>
                <w:noProof/>
              </w:rPr>
              <w:tab/>
              <w:fldChar w:fldCharType="begin"/>
              <w:instrText xml:space="preserve"> PAGEREF _Toc223607425 \h </w:instrText>
              <w:fldChar w:fldCharType="separate"/>
              <w:t>3</w:t>
              <w:fldChar w:fldCharType="end"/>
            </w:r>
          </w:hyperlink>
        </w:p>
        <w:p w:rsidR="00181759" w:rsidRDefault="00801443">
          <w:pPr>
            <w:pStyle w:val="TM2"/>
            <w:tabs>
              <w:tab w:val="right" w:leader="dot" w:pos="9628"/>
            </w:tabs>
            <w:rPr>
              <w:noProof/>
            </w:rPr>
          </w:pPr>
          <w:hyperlink w:anchor="_Toc223607426" w:history="1">
            <w:r>
              <w:rPr>
                <w:rStyle w:val="Lienhypertexte"/>
                <w:noProof/>
              </w:rPr>
              <w:t>2.3 États absorbants</w:t>
            </w:r>
            <w:r>
              <w:rPr>
                <w:noProof/>
              </w:rPr>
              <w:tab/>
              <w:fldChar w:fldCharType="begin"/>
              <w:instrText xml:space="preserve"> PAGEREF _Toc223607426 \h </w:instrText>
              <w:fldChar w:fldCharType="separate"/>
              <w:t>3</w:t>
              <w:fldChar w:fldCharType="end"/>
            </w:r>
          </w:hyperlink>
        </w:p>
        <w:p w:rsidR="00181759" w:rsidRDefault="00801443">
          <w:pPr>
            <w:pStyle w:val="TM1"/>
            <w:tabs>
              <w:tab w:val="right" w:leader="dot" w:pos="9628"/>
            </w:tabs>
            <w:rPr>
              <w:noProof/>
            </w:rPr>
          </w:pPr>
          <w:hyperlink w:anchor="_Toc223607427" w:history="1">
            <w:r>
              <w:rPr>
                <w:rStyle w:val="Lienhypertexte"/>
                <w:noProof/>
              </w:rPr>
              <w:t>3. Phase 1 — Définition des cas d'usage</w:t>
            </w:r>
            <w:r>
              <w:rPr>
                <w:noProof/>
              </w:rPr>
              <w:tab/>
              <w:fldChar w:fldCharType="begin"/>
              <w:instrText xml:space="preserve"> PAGEREF _Toc223607427 \h </w:instrText>
              <w:fldChar w:fldCharType="separate"/>
              <w:t>4</w:t>
              <w:fldChar w:fldCharType="end"/>
            </w:r>
          </w:hyperlink>
        </w:p>
        <w:p w:rsidR="00181759" w:rsidRDefault="00801443">
          <w:pPr>
            <w:pStyle w:val="TM2"/>
            <w:tabs>
              <w:tab w:val="right" w:leader="dot" w:pos="9628"/>
            </w:tabs>
            <w:rPr>
              <w:noProof/>
            </w:rPr>
          </w:pPr>
          <w:hyperlink w:anchor="_Toc223607428" w:history="1">
            <w:r>
              <w:rPr>
                <w:rStyle w:val="Lienhypertexte"/>
                <w:noProof/>
              </w:rPr>
              <w:t>3.1 Grilles utilisées</w:t>
            </w:r>
            <w:r>
              <w:rPr>
                <w:noProof/>
              </w:rPr>
              <w:tab/>
              <w:fldChar w:fldCharType="begin"/>
              <w:instrText xml:space="preserve"> PAGEREF _Toc223607428 \h </w:instrText>
              <w:fldChar w:fldCharType="separate"/>
              <w:t>4</w:t>
              <w:fldChar w:fldCharType="end"/>
            </w:r>
          </w:hyperlink>
        </w:p>
        <w:p w:rsidR="00181759" w:rsidRDefault="00801443">
          <w:pPr>
            <w:pStyle w:val="TM2"/>
            <w:tabs>
              <w:tab w:val="right" w:leader="dot" w:pos="9628"/>
            </w:tabs>
            <w:rPr>
              <w:noProof/>
            </w:rPr>
          </w:pPr>
          <w:hyperlink w:anchor="_Toc223607429" w:history="1">
            <w:r>
              <w:rPr>
                <w:rStyle w:val="Lienhypertexte"/>
                <w:noProof/>
              </w:rPr>
              <w:t>3.2 Visualisation des chemins A*</w:t>
            </w:r>
            <w:r>
              <w:rPr>
                <w:noProof/>
              </w:rPr>
              <w:tab/>
              <w:fldChar w:fldCharType="begin"/>
              <w:instrText xml:space="preserve"> PAGEREF _Toc223607429 \h </w:instrText>
              <w:fldChar w:fldCharType="separate"/>
              <w:t>4</w:t>
              <w:fldChar w:fldCharType="end"/>
            </w:r>
          </w:hyperlink>
        </w:p>
        <w:p w:rsidR="00181759" w:rsidRDefault="00801443">
          <w:pPr>
            <w:pStyle w:val="TM1"/>
            <w:tabs>
              <w:tab w:val="right" w:leader="dot" w:pos="9628"/>
            </w:tabs>
            <w:rPr>
              <w:noProof/>
            </w:rPr>
          </w:pPr>
          <w:hyperlink w:anchor="_Toc223607430" w:history="1">
            <w:r>
              <w:rPr>
                <w:rStyle w:val="Lienhypertexte"/>
                <w:noProof/>
              </w:rPr>
              <w:t>4. Phase 2 — Planification déterministe avec A*</w:t>
            </w:r>
            <w:r>
              <w:rPr>
                <w:noProof/>
              </w:rPr>
              <w:tab/>
              <w:fldChar w:fldCharType="begin"/>
              <w:instrText xml:space="preserve"> PAGEREF _Toc223607430 \h </w:instrText>
              <w:fldChar w:fldCharType="separate"/>
              <w:t>4</w:t>
              <w:fldChar w:fldCharType="end"/>
            </w:r>
          </w:hyperlink>
        </w:p>
        <w:p w:rsidR="00181759" w:rsidRDefault="00801443">
          <w:pPr>
            <w:pStyle w:val="TM2"/>
            <w:tabs>
              <w:tab w:val="right" w:leader="dot" w:pos="9628"/>
            </w:tabs>
            <w:rPr>
              <w:noProof/>
            </w:rPr>
          </w:pPr>
          <w:hyperlink w:anchor="_Toc223607431" w:history="1">
            <w:r>
              <w:rPr>
                <w:rStyle w:val="Lienhypertexte"/>
                <w:noProof/>
              </w:rPr>
              <w:t>4.1 Implémentation</w:t>
            </w:r>
            <w:r>
              <w:rPr>
                <w:noProof/>
              </w:rPr>
              <w:tab/>
              <w:fldChar w:fldCharType="begin"/>
              <w:instrText xml:space="preserve"> PAGEREF _Toc223607431 \h </w:instrText>
              <w:fldChar w:fldCharType="separate"/>
              <w:t>5</w:t>
              <w:fldChar w:fldCharType="end"/>
            </w:r>
          </w:hyperlink>
        </w:p>
        <w:p w:rsidR="00181759" w:rsidRDefault="00801443">
          <w:pPr>
            <w:pStyle w:val="TM2"/>
            <w:tabs>
              <w:tab w:val="right" w:leader="dot" w:pos="9628"/>
            </w:tabs>
            <w:rPr>
              <w:noProof/>
            </w:rPr>
          </w:pPr>
          <w:hyperlink w:anchor="_Toc223607432" w:history="1">
            <w:r>
              <w:rPr>
                <w:rStyle w:val="Lienhypertexte"/>
                <w:noProof/>
              </w:rPr>
              <w:t>4.2 Admissibilité et cohérence de h</w:t>
            </w:r>
            <w:r>
              <w:rPr>
                <w:noProof/>
              </w:rPr>
              <w:tab/>
              <w:fldChar w:fldCharType="begin"/>
              <w:instrText xml:space="preserve"> PAGEREF _Toc223607432 \h </w:instrText>
              <w:fldChar w:fldCharType="separate"/>
              <w:t>5</w:t>
              <w:fldChar w:fldCharType="end"/>
            </w:r>
          </w:hyperlink>
        </w:p>
        <w:p w:rsidR="00181759" w:rsidRDefault="00801443">
          <w:pPr>
            <w:pStyle w:val="TM2"/>
            <w:tabs>
              <w:tab w:val="right" w:leader="dot" w:pos="9628"/>
            </w:tabs>
            <w:rPr>
              <w:noProof/>
            </w:rPr>
          </w:pPr>
          <w:hyperlink w:anchor="_Toc223607433" w:history="1">
            <w:r>
              <w:rPr>
                <w:rStyle w:val="Lienhypertexte"/>
                <w:noProof/>
              </w:rPr>
              <w:t>4.3 Résultats comparatifs</w:t>
            </w:r>
            <w:r>
              <w:rPr>
                <w:noProof/>
              </w:rPr>
              <w:tab/>
              <w:fldChar w:fldCharType="begin"/>
              <w:instrText xml:space="preserve"> PAGEREF _Toc223607433 \h </w:instrText>
              <w:fldChar w:fldCharType="separate"/>
              <w:t>5</w:t>
              <w:fldChar w:fldCharType="end"/>
            </w:r>
          </w:hyperlink>
        </w:p>
        <w:p w:rsidR="00181759" w:rsidRDefault="00801443">
          <w:pPr>
            <w:pStyle w:val="TM1"/>
            <w:tabs>
              <w:tab w:val="right" w:leader="dot" w:pos="9628"/>
            </w:tabs>
            <w:rPr>
              <w:noProof/>
            </w:rPr>
          </w:pPr>
          <w:hyperlink w:anchor="_Toc223607434" w:history="1">
            <w:r>
              <w:rPr>
                <w:rStyle w:val="Lienhypertexte"/>
                <w:noProof/>
              </w:rPr>
              <w:t>5. Phase 3 — Construction de la chaîne de Markov</w:t>
            </w:r>
            <w:r>
              <w:rPr>
                <w:noProof/>
              </w:rPr>
              <w:tab/>
              <w:fldChar w:fldCharType="begin"/>
              <w:instrText xml:space="preserve"> PAGEREF _Toc223607434 \h </w:instrText>
              <w:fldChar w:fldCharType="separate"/>
              <w:t>6</w:t>
              <w:fldChar w:fldCharType="end"/>
            </w:r>
          </w:hyperlink>
        </w:p>
        <w:p w:rsidR="00181759" w:rsidRDefault="00801443">
          <w:pPr>
            <w:pStyle w:val="TM2"/>
            <w:tabs>
              <w:tab w:val="right" w:leader="dot" w:pos="9628"/>
            </w:tabs>
            <w:rPr>
              <w:noProof/>
            </w:rPr>
          </w:pPr>
          <w:hyperlink w:anchor="_Toc223607435" w:history="1">
            <w:r>
              <w:rPr>
                <w:rStyle w:val="Lienhypertexte"/>
                <w:noProof/>
              </w:rPr>
              <w:t>5.1 Politique induite par le chemin A*</w:t>
            </w:r>
            <w:r>
              <w:rPr>
                <w:noProof/>
              </w:rPr>
              <w:tab/>
              <w:fldChar w:fldCharType="begin"/>
              <w:instrText xml:space="preserve"> PAGEREF _Toc223607435 \h </w:instrText>
              <w:fldChar w:fldCharType="separate"/>
              <w:t>6</w:t>
              <w:fldChar w:fldCharType="end"/>
            </w:r>
          </w:hyperlink>
        </w:p>
        <w:p w:rsidR="00181759" w:rsidRDefault="00801443">
          <w:pPr>
            <w:pStyle w:val="TM2"/>
            <w:tabs>
              <w:tab w:val="right" w:leader="dot" w:pos="9628"/>
            </w:tabs>
            <w:rPr>
              <w:noProof/>
            </w:rPr>
          </w:pPr>
          <w:hyperlink w:anchor="_Toc223607436" w:history="1">
            <w:r>
              <w:rPr>
                <w:rStyle w:val="Lienhypertexte"/>
                <w:noProof/>
              </w:rPr>
              <w:t>5.2 Construction de P</w:t>
            </w:r>
            <w:r>
              <w:rPr>
                <w:noProof/>
              </w:rPr>
              <w:tab/>
              <w:fldChar w:fldCharType="begin"/>
              <w:instrText xml:space="preserve"> PAGEREF _Toc223607436 \h </w:instrText>
              <w:fldChar w:fldCharType="separate"/>
              <w:t>6</w:t>
              <w:fldChar w:fldCharType="end"/>
            </w:r>
          </w:hyperlink>
        </w:p>
        <w:p w:rsidR="00181759" w:rsidRDefault="00801443">
          <w:pPr>
            <w:pStyle w:val="TM2"/>
            <w:tabs>
              <w:tab w:val="right" w:leader="dot" w:pos="9628"/>
            </w:tabs>
            <w:rPr>
              <w:noProof/>
            </w:rPr>
          </w:pPr>
          <w:hyperlink w:anchor="_Toc223607437" w:history="1">
            <w:r>
              <w:rPr>
                <w:rStyle w:val="Lienhypertexte"/>
                <w:noProof/>
              </w:rPr>
              <w:t>5.3 Distribution πⁿ = π⁰ · Pⁿ</w:t>
            </w:r>
            <w:r>
              <w:rPr>
                <w:noProof/>
              </w:rPr>
              <w:tab/>
              <w:fldChar w:fldCharType="begin"/>
              <w:instrText xml:space="preserve"> PAGEREF _Toc223607437 \h </w:instrText>
              <w:fldChar w:fldCharType="separate"/>
              <w:t>6</w:t>
              <w:fldChar w:fldCharType="end"/>
            </w:r>
          </w:hyperlink>
        </w:p>
        <w:p w:rsidR="00181759" w:rsidRDefault="00801443">
          <w:pPr>
            <w:pStyle w:val="TM1"/>
            <w:tabs>
              <w:tab w:val="right" w:leader="dot" w:pos="9628"/>
            </w:tabs>
            <w:rPr>
              <w:noProof/>
            </w:rPr>
          </w:pPr>
          <w:hyperlink w:anchor="_Toc223607438" w:history="1">
            <w:r>
              <w:rPr>
                <w:rStyle w:val="Lienhypertexte"/>
                <w:noProof/>
              </w:rPr>
              <w:t>6. Phase 4 — Analyse de la chaîne de Markov</w:t>
            </w:r>
            <w:r>
              <w:rPr>
                <w:noProof/>
              </w:rPr>
              <w:tab/>
              <w:fldChar w:fldCharType="begin"/>
              <w:instrText xml:space="preserve"> PAGEREF _Toc223607438 \h </w:instrText>
              <w:fldChar w:fldCharType="separate"/>
              <w:t>6</w:t>
              <w:fldChar w:fldCharType="end"/>
            </w:r>
          </w:hyperlink>
        </w:p>
        <w:p w:rsidR="00181759" w:rsidRDefault="00801443">
          <w:pPr>
            <w:pStyle w:val="TM2"/>
            <w:tabs>
              <w:tab w:val="right" w:leader="dot" w:pos="9628"/>
            </w:tabs>
            <w:rPr>
              <w:noProof/>
            </w:rPr>
          </w:pPr>
          <w:hyperlink w:anchor="_Toc223607439" w:history="1">
            <w:r>
              <w:rPr>
                <w:rStyle w:val="Lienhypertexte"/>
                <w:noProof/>
              </w:rPr>
              <w:t>6.1 Classes de communication</w:t>
            </w:r>
            <w:r>
              <w:rPr>
                <w:noProof/>
              </w:rPr>
              <w:tab/>
              <w:fldChar w:fldCharType="begin"/>
              <w:instrText xml:space="preserve"> PAGEREF _Toc223607439 \h </w:instrText>
              <w:fldChar w:fldCharType="separate"/>
              <w:t>6</w:t>
              <w:fldChar w:fldCharType="end"/>
            </w:r>
          </w:hyperlink>
        </w:p>
        <w:p w:rsidR="00181759" w:rsidRDefault="00801443">
          <w:pPr>
            <w:pStyle w:val="TM2"/>
            <w:tabs>
              <w:tab w:val="right" w:leader="dot" w:pos="9628"/>
            </w:tabs>
            <w:rPr>
              <w:noProof/>
            </w:rPr>
          </w:pPr>
          <w:hyperlink w:anchor="_Toc223607440" w:history="1">
            <w:r>
              <w:rPr>
                <w:rStyle w:val="Lienhypertexte"/>
                <w:noProof/>
              </w:rPr>
              <w:t>6.2 Analyse d'absorption</w:t>
            </w:r>
            <w:r>
              <w:rPr>
                <w:noProof/>
              </w:rPr>
              <w:tab/>
              <w:fldChar w:fldCharType="begin"/>
              <w:instrText xml:space="preserve"> PAGEREF _Toc223607440 \h </w:instrText>
              <w:fldChar w:fldCharType="separate"/>
              <w:t>6</w:t>
              <w:fldChar w:fldCharType="end"/>
            </w:r>
          </w:hyperlink>
        </w:p>
        <w:p w:rsidR="00181759" w:rsidRDefault="00801443">
          <w:pPr>
            <w:pStyle w:val="TM2"/>
            <w:tabs>
              <w:tab w:val="right" w:leader="dot" w:pos="9628"/>
            </w:tabs>
            <w:rPr>
              <w:noProof/>
            </w:rPr>
          </w:pPr>
          <w:hyperlink w:anchor="_Toc223607441" w:history="1">
            <w:r>
              <w:rPr>
                <w:rStyle w:val="Lienhypertexte"/>
                <w:noProof/>
              </w:rPr>
              <w:t>6.3 Discussion sur la périodicité</w:t>
            </w:r>
            <w:r>
              <w:rPr>
                <w:noProof/>
              </w:rPr>
              <w:tab/>
              <w:fldChar w:fldCharType="begin"/>
              <w:instrText xml:space="preserve"> PAGEREF _Toc223607441 \h </w:instrText>
              <w:fldChar w:fldCharType="separate"/>
              <w:t>7</w:t>
              <w:fldChar w:fldCharType="end"/>
            </w:r>
          </w:hyperlink>
        </w:p>
        <w:p w:rsidR="00181759" w:rsidRDefault="00801443">
          <w:pPr>
            <w:pStyle w:val="TM1"/>
            <w:tabs>
              <w:tab w:val="right" w:leader="dot" w:pos="9628"/>
            </w:tabs>
            <w:rPr>
              <w:noProof/>
            </w:rPr>
          </w:pPr>
          <w:hyperlink w:anchor="_Toc223607442" w:history="1">
            <w:r>
              <w:rPr>
                <w:rStyle w:val="Lienhypertexte"/>
                <w:noProof/>
              </w:rPr>
              <w:t>7. Phase 5 — Simulation Monte-Carlo et validation</w:t>
            </w:r>
            <w:r>
              <w:rPr>
                <w:noProof/>
              </w:rPr>
              <w:tab/>
              <w:fldChar w:fldCharType="begin"/>
              <w:instrText xml:space="preserve"> PAGEREF _Toc223607442 \h </w:instrText>
              <w:fldChar w:fldCharType="separate"/>
              <w:t>7</w:t>
              <w:fldChar w:fldCharType="end"/>
            </w:r>
          </w:hyperlink>
        </w:p>
        <w:p w:rsidR="00181759" w:rsidRDefault="00801443">
          <w:pPr>
            <w:pStyle w:val="TM2"/>
            <w:tabs>
              <w:tab w:val="right" w:leader="dot" w:pos="9628"/>
            </w:tabs>
            <w:rPr>
              <w:noProof/>
            </w:rPr>
          </w:pPr>
          <w:hyperlink w:anchor="_Toc223607443" w:history="1">
            <w:r>
              <w:rPr>
                <w:rStyle w:val="Lienhypertexte"/>
                <w:noProof/>
              </w:rPr>
              <w:t>7.1 Protocole de simulation</w:t>
            </w:r>
            <w:r>
              <w:rPr>
                <w:noProof/>
              </w:rPr>
              <w:tab/>
              <w:fldChar w:fldCharType="begin"/>
              <w:instrText xml:space="preserve"> PAGEREF _Toc223607443 \h </w:instrText>
              <w:fldChar w:fldCharType="separate"/>
              <w:t>7</w:t>
              <w:fldChar w:fldCharType="end"/>
            </w:r>
          </w:hyperlink>
        </w:p>
        <w:p w:rsidR="00181759" w:rsidRDefault="00801443">
          <w:pPr>
            <w:pStyle w:val="TM2"/>
            <w:tabs>
              <w:tab w:val="right" w:leader="dot" w:pos="9628"/>
            </w:tabs>
            <w:rPr>
              <w:noProof/>
            </w:rPr>
          </w:pPr>
          <w:hyperlink w:anchor="_Toc223607444" w:history="1">
            <w:r>
              <w:rPr>
                <w:rStyle w:val="Lienhypertexte"/>
                <w:noProof/>
              </w:rPr>
              <w:t>7.2 Impact de ε sur la robustesse</w:t>
            </w:r>
            <w:r>
              <w:rPr>
                <w:noProof/>
              </w:rPr>
              <w:tab/>
              <w:fldChar w:fldCharType="begin"/>
              <w:instrText xml:space="preserve"> PAGEREF _Toc223607444 \h </w:instrText>
              <w:fldChar w:fldCharType="separate"/>
              <w:t>7</w:t>
              <w:fldChar w:fldCharType="end"/>
            </w:r>
          </w:hyperlink>
        </w:p>
        <w:p w:rsidR="00181759" w:rsidRDefault="00801443">
          <w:pPr>
            <w:pStyle w:val="TM2"/>
            <w:tabs>
              <w:tab w:val="right" w:leader="dot" w:pos="9628"/>
            </w:tabs>
            <w:rPr>
              <w:noProof/>
            </w:rPr>
          </w:pPr>
          <w:hyperlink w:anchor="_Toc223607445" w:history="1">
            <w:r>
              <w:rPr>
                <w:rStyle w:val="Lienhypertexte"/>
                <w:noProof/>
              </w:rPr>
              <w:t>7.3 Validation théorie vs simulation</w:t>
            </w:r>
            <w:r>
              <w:rPr>
                <w:noProof/>
              </w:rPr>
              <w:tab/>
              <w:fldChar w:fldCharType="begin"/>
              <w:instrText xml:space="preserve"> PAGEREF _Toc223607445 \h </w:instrText>
              <w:fldChar w:fldCharType="separate"/>
              <w:t>8</w:t>
              <w:fldChar w:fldCharType="end"/>
            </w:r>
          </w:hyperlink>
        </w:p>
        <w:p w:rsidR="00181759" w:rsidRDefault="00801443">
          <w:pPr>
            <w:pStyle w:val="TM1"/>
            <w:tabs>
              <w:tab w:val="right" w:leader="dot" w:pos="9628"/>
            </w:tabs>
            <w:rPr>
              <w:noProof/>
            </w:rPr>
          </w:pPr>
          <w:hyperlink w:anchor="_Toc223607446" w:history="1">
            <w:r>
              <w:rPr>
                <w:rStyle w:val="Lienhypertexte"/>
                <w:noProof/>
              </w:rPr>
              <w:t>8. Discussion et limites</w:t>
            </w:r>
            <w:r>
              <w:rPr>
                <w:noProof/>
              </w:rPr>
              <w:tab/>
              <w:fldChar w:fldCharType="begin"/>
              <w:instrText xml:space="preserve"> PAGEREF _Toc223607446 \h </w:instrText>
              <w:fldChar w:fldCharType="separate"/>
              <w:t>8</w:t>
              <w:fldChar w:fldCharType="end"/>
            </w:r>
          </w:hyperlink>
        </w:p>
        <w:p w:rsidR="00181759" w:rsidRDefault="00801443">
          <w:pPr>
            <w:pStyle w:val="TM2"/>
            <w:tabs>
              <w:tab w:val="right" w:leader="dot" w:pos="9628"/>
            </w:tabs>
            <w:rPr>
              <w:noProof/>
            </w:rPr>
          </w:pPr>
          <w:hyperlink w:anchor="_Toc223607447" w:history="1">
            <w:r>
              <w:rPr>
                <w:rStyle w:val="Lienhypertexte"/>
                <w:noProof/>
              </w:rPr>
              <w:t>8.1 Forces de l'approche hybride</w:t>
            </w:r>
            <w:r>
              <w:rPr>
                <w:noProof/>
              </w:rPr>
              <w:tab/>
              <w:fldChar w:fldCharType="begin"/>
              <w:instrText xml:space="preserve"> PAGEREF _Toc223607447 \h </w:instrText>
              <w:fldChar w:fldCharType="separate"/>
              <w:t>8</w:t>
              <w:fldChar w:fldCharType="end"/>
            </w:r>
          </w:hyperlink>
        </w:p>
        <w:p w:rsidR="00181759" w:rsidRDefault="00801443">
          <w:pPr>
            <w:pStyle w:val="TM2"/>
            <w:tabs>
              <w:tab w:val="right" w:leader="dot" w:pos="9628"/>
            </w:tabs>
            <w:rPr>
              <w:noProof/>
            </w:rPr>
          </w:pPr>
          <w:hyperlink w:anchor="_Toc223607448" w:history="1">
            <w:r>
              <w:rPr>
                <w:rStyle w:val="Lienhypertexte"/>
                <w:noProof/>
              </w:rPr>
              <w:t>8.2 Limites et améliorations</w:t>
            </w:r>
            <w:r>
              <w:rPr>
                <w:noProof/>
              </w:rPr>
              <w:tab/>
              <w:fldChar w:fldCharType="begin"/>
              <w:instrText xml:space="preserve"> PAGEREF _Toc223607448 \h </w:instrText>
              <w:fldChar w:fldCharType="separate"/>
              <w:t>8</w:t>
              <w:fldChar w:fldCharType="end"/>
            </w:r>
          </w:hyperlink>
        </w:p>
        <w:p w:rsidR="00181759" w:rsidRDefault="00801443">
          <w:pPr>
            <w:pStyle w:val="TM2"/>
            <w:tabs>
              <w:tab w:val="right" w:leader="dot" w:pos="9628"/>
            </w:tabs>
            <w:rPr>
              <w:noProof/>
            </w:rPr>
          </w:pPr>
          <w:hyperlink w:anchor="_Toc223607449" w:history="1">
            <w:r>
              <w:rPr>
                <w:rStyle w:val="Lienhypertexte"/>
                <w:noProof/>
              </w:rPr>
              <w:t>8.3 Synthèse</w:t>
            </w:r>
            <w:r>
              <w:rPr>
                <w:noProof/>
              </w:rPr>
              <w:tab/>
              <w:fldChar w:fldCharType="begin"/>
              <w:instrText xml:space="preserve"> PAGEREF _Toc223607449 \h </w:instrText>
              <w:fldChar w:fldCharType="separate"/>
              <w:t>8</w:t>
              <w:fldChar w:fldCharType="end"/>
            </w:r>
          </w:hyperlink>
        </w:p>
        <w:p w:rsidR="00181759" w:rsidRDefault="00801443">
          <w:pPr>
            <w:pStyle w:val="TM1"/>
            <w:tabs>
              <w:tab w:val="right" w:leader="dot" w:pos="9628"/>
            </w:tabs>
            <w:rPr>
              <w:noProof/>
            </w:rPr>
          </w:pPr>
          <w:hyperlink w:anchor="_Toc223607450" w:history="1">
            <w:r>
              <w:rPr>
                <w:rStyle w:val="Lienhypertexte"/>
                <w:noProof/>
              </w:rPr>
              <w:t>9. Conclusion</w:t>
            </w:r>
            <w:r>
              <w:rPr>
                <w:noProof/>
              </w:rPr>
              <w:tab/>
              <w:fldChar w:fldCharType="begin"/>
              <w:instrText xml:space="preserve"> PAGEREF _Toc223607450 \h </w:instrText>
              <w:fldChar w:fldCharType="separate"/>
              <w:t>9</w:t>
              <w:fldChar w:fldCharType="end"/>
            </w:r>
          </w:hyperlink>
        </w:p>
        <w:p w:rsidR="00181759" w:rsidRDefault="00801443">
          <w:pPr>
            <w:pStyle w:val="TM1"/>
            <w:tabs>
              <w:tab w:val="right" w:leader="dot" w:pos="9628"/>
            </w:tabs>
            <w:rPr>
              <w:noProof/>
            </w:rPr>
          </w:pPr>
          <w:hyperlink w:anchor="_Toc223607451" w:history="1">
            <w:r>
              <w:rPr>
                <w:rStyle w:val="Lienhypertexte"/>
                <w:noProof/>
              </w:rPr>
              <w:t>Références</w:t>
            </w:r>
            <w:r>
              <w:rPr>
                <w:noProof/>
              </w:rPr>
              <w:tab/>
              <w:fldChar w:fldCharType="begin"/>
              <w:instrText xml:space="preserve"> PAGEREF _Toc223607451 \h </w:instrText>
              <w:fldChar w:fldCharType="separate"/>
              <w:t>10</w:t>
              <w:fldChar w:fldCharType="end"/>
            </w:r>
          </w:hyperlink>
        </w:p>
        <w:p w:rsidR="00B20A92" w:rsidRDefault="00181759">
          <w:r>
            <w:fldChar w:fldCharType="end"/>
          </w:r>
        </w:p>
      </w:sdtContent>
    </w:sdt>
    <w:p w:rsidR="00B20A92" w:rsidRDefault="00181759">
      <w:r>
        <w:br w:type="page"/>
      </w:r>
    </w:p>
    <w:p w:rsidR="00B20A92" w:rsidRDefault="00181759">
      <w:pPr>
        <w:pStyle w:val="Titre1"/>
        <w:pBdr>
          <w:bottom w:val="single" w:sz="8" w:space="6" w:color="C0392B"/>
        </w:pBdr>
      </w:pPr>
      <w:bookmarkStart w:id="1" w:name="_Toc223607422"/>
      <w:r>
        <w:lastRenderedPageBreak/>
        <w:t>1. Introduction et contexte</w:t>
      </w:r>
      <w:bookmarkEnd w:id="1"/>
    </w:p>
    <w:p w:rsidR="00B20A92" w:rsidRDefault="00181759">
      <w:pPr>
        <w:spacing w:before="80" w:after="100"/>
        <w:jc w:val="both"/>
      </w:pPr>
      <w:r>
        <w:t>Dans de nombreux systèmes réels (robotique, logistique, navigation urbaine, jeux vidéo), un agent doit atteindre une cible en minimisant un coût dans un environnement où les transitions peuvent être incertaines. Ce mini-projet propose une solution hybride combinant deux cadres théoriques complémentaires :</w:t>
      </w:r>
    </w:p>
    <w:p w:rsidR="00B20A92" w:rsidRDefault="00B20A92">
      <w:pPr>
        <w:spacing w:before="60" w:after="60"/>
      </w:pPr>
    </w:p>
    <w:p w:rsidR="00B20A92" w:rsidRDefault="00181759">
      <w:pPr>
        <w:pStyle w:val="Paragraphedeliste"/>
        <w:numPr>
          <w:ilvl w:val="0"/>
          <w:numId w:val="2"/>
        </w:numPr>
        <w:spacing w:before="60" w:after="60"/>
      </w:pPr>
      <w:r>
        <w:t>Recherche heuristique (A*) : planifier un chemin optimal sur un graphe pondéré via f(n) = g(n) + h(n).</w:t>
      </w:r>
    </w:p>
    <w:p w:rsidR="00B20A92" w:rsidRDefault="00181759">
      <w:pPr>
        <w:pStyle w:val="Paragraphedeliste"/>
        <w:numPr>
          <w:ilvl w:val="0"/>
          <w:numId w:val="2"/>
        </w:numPr>
        <w:spacing w:before="60" w:after="60"/>
      </w:pPr>
      <w:r>
        <w:t>Chaînes de Markov à temps discret : modéliser l'incertitude des actions (glissement, déviation) et évaluer la robustesse du plan par calcul matriciel et simulation Monte-Carlo.</w:t>
      </w:r>
    </w:p>
    <w:p w:rsidR="00B20A92" w:rsidRDefault="00B20A92">
      <w:pPr>
        <w:spacing w:before="60" w:after="60"/>
      </w:pPr>
    </w:p>
    <w:p w:rsidR="00B20A92" w:rsidRDefault="00181759">
      <w:pPr>
        <w:pBdr>
          <w:left w:val="single" w:sz="20" w:space="8" w:color="C0392B"/>
        </w:pBdr>
        <w:shd w:val="clear" w:color="auto" w:fill="FDF2F2"/>
        <w:spacing w:before="120" w:after="120"/>
        <w:ind w:left="720" w:right="360"/>
        <w:jc w:val="both"/>
      </w:pPr>
      <w:r>
        <w:rPr>
          <w:i/>
          <w:iCs/>
        </w:rPr>
        <w:t>La problématique centrale est : comment planifier un chemin peu coûteux tout en tenant compte d'une dynamique stochastique, et comment évaluer la robustesse de ce plan par des mesures probabilistes ?</w:t>
      </w:r>
    </w:p>
    <w:p w:rsidR="00B20A92" w:rsidRDefault="00181759">
      <w:pPr>
        <w:pStyle w:val="Titre1"/>
        <w:pBdr>
          <w:bottom w:val="single" w:sz="8" w:space="6" w:color="C0392B"/>
        </w:pBdr>
      </w:pPr>
      <w:bookmarkStart w:id="2" w:name="_Toc223607423"/>
      <w:r>
        <w:t>2. Modélisation mathématique</w:t>
      </w:r>
      <w:bookmarkEnd w:id="2"/>
    </w:p>
    <w:p w:rsidR="00B20A92" w:rsidRDefault="00181759">
      <w:pPr>
        <w:pStyle w:val="Titre2"/>
      </w:pPr>
      <w:bookmarkStart w:id="3" w:name="_Toc223607424"/>
      <w:r>
        <w:t>2.1 Espace d'états et graphe de recherche</w:t>
      </w:r>
      <w:bookmarkEnd w:id="3"/>
    </w:p>
    <w:p w:rsidR="00B20A92" w:rsidRDefault="00181759">
      <w:pPr>
        <w:spacing w:before="80" w:after="100"/>
        <w:jc w:val="both"/>
      </w:pPr>
      <w:r>
        <w:t>La grille 2D est représentée par un ensemble d'états S, où chaque cellule libre (r, c) est un nœud du graphe. Les arêtes modélisent les déplacements autorisés (4-connexité : haut, bas, gauche, droite) avec un coût c(n, n') &gt; 0. On note :</w:t>
      </w:r>
    </w:p>
    <w:p w:rsidR="00B20A92" w:rsidRDefault="00181759">
      <w:pPr>
        <w:pStyle w:val="Paragraphedeliste"/>
        <w:numPr>
          <w:ilvl w:val="0"/>
          <w:numId w:val="2"/>
        </w:numPr>
        <w:spacing w:before="60" w:after="60"/>
      </w:pPr>
      <w:r>
        <w:t>g(n) : coût cumulé depuis l'état de départ s₀</w:t>
      </w:r>
    </w:p>
    <w:p w:rsidR="00B20A92" w:rsidRDefault="00181759">
      <w:pPr>
        <w:pStyle w:val="Paragraphedeliste"/>
        <w:numPr>
          <w:ilvl w:val="0"/>
          <w:numId w:val="2"/>
        </w:numPr>
        <w:spacing w:before="60" w:after="60"/>
      </w:pPr>
      <w:r>
        <w:t>h(n) : heuristique estimant le coût restant jusqu'au but g</w:t>
      </w:r>
    </w:p>
    <w:p w:rsidR="00B20A92" w:rsidRDefault="00181759">
      <w:pPr>
        <w:pStyle w:val="Paragraphedeliste"/>
        <w:numPr>
          <w:ilvl w:val="0"/>
          <w:numId w:val="2"/>
        </w:numPr>
        <w:spacing w:before="60" w:after="60"/>
      </w:pPr>
      <w:r>
        <w:t>f(n) = g(n) + h(n) : fonction d'évaluation utilisée par A*</w:t>
      </w:r>
    </w:p>
    <w:p w:rsidR="00B20A92" w:rsidRDefault="00B20A92">
      <w:pPr>
        <w:spacing w:before="60" w:after="60"/>
      </w:pPr>
    </w:p>
    <w:p w:rsidR="00B20A92" w:rsidRDefault="00181759">
      <w:pPr>
        <w:spacing w:before="80" w:after="100"/>
        <w:jc w:val="both"/>
      </w:pPr>
      <w:r>
        <w:t>L'heuristique de Manhattan utilisée est :</w:t>
      </w:r>
    </w:p>
    <w:p w:rsidR="00B20A92" w:rsidRDefault="00181759">
      <w:pPr>
        <w:spacing w:before="80" w:after="80"/>
        <w:jc w:val="center"/>
      </w:pPr>
      <w:r>
        <w:rPr>
          <w:rFonts w:ascii="Courier New" w:eastAsia="Courier New" w:hAnsi="Courier New" w:cs="Courier New"/>
          <w:b/>
          <w:bCs/>
          <w:color w:val="8B0000"/>
        </w:rPr>
        <w:t>h((x, y)) = |x − x_g| + |y − y_g|</w:t>
      </w:r>
    </w:p>
    <w:p w:rsidR="00B20A92" w:rsidRDefault="00181759">
      <w:pPr>
        <w:spacing w:before="80" w:after="100"/>
        <w:jc w:val="both"/>
      </w:pPr>
      <w:r>
        <w:t>Cette heuristique est admissible (ne surestime jamais le coût réel) et cohérente (monotone), ce qui garantit l'optimalité de A* [1][2].</w:t>
      </w:r>
    </w:p>
    <w:p w:rsidR="00B20A92" w:rsidRDefault="00181759">
      <w:pPr>
        <w:pStyle w:val="Titre2"/>
      </w:pPr>
      <w:bookmarkStart w:id="4" w:name="_Toc223607425"/>
      <w:r>
        <w:t>2.2 Chaîne de Markov et incertitude d'action</w:t>
      </w:r>
      <w:bookmarkEnd w:id="4"/>
    </w:p>
    <w:p w:rsidR="00B20A92" w:rsidRDefault="00181759">
      <w:pPr>
        <w:spacing w:before="80" w:after="100"/>
        <w:jc w:val="both"/>
      </w:pPr>
      <w:r>
        <w:t>On modélise la dynamique réelle de l'agent par une chaîne de Markov à temps discret {Xₙ}ₙ≥0 sur S [3][4]. La matrice de transition P = (pᵢⱼ) est stochastique (somme 1 par ligne). Le paramètre ε contrôle l'incertitude :</w:t>
      </w:r>
    </w:p>
    <w:p w:rsidR="00B20A92" w:rsidRDefault="00181759">
      <w:pPr>
        <w:pStyle w:val="Paragraphedeliste"/>
        <w:numPr>
          <w:ilvl w:val="0"/>
          <w:numId w:val="2"/>
        </w:numPr>
        <w:spacing w:before="60" w:after="60"/>
      </w:pPr>
      <w:r>
        <w:t>action voulue vers n' avec probabilité 1 − ε</w:t>
      </w:r>
    </w:p>
    <w:p w:rsidR="00B20A92" w:rsidRDefault="00181759">
      <w:pPr>
        <w:pStyle w:val="Paragraphedeliste"/>
        <w:numPr>
          <w:ilvl w:val="0"/>
          <w:numId w:val="2"/>
        </w:numPr>
        <w:spacing w:before="60" w:after="60"/>
      </w:pPr>
      <w:r>
        <w:t>déviation vers un voisin latéral gauche avec probabilité ε/2</w:t>
      </w:r>
    </w:p>
    <w:p w:rsidR="00B20A92" w:rsidRDefault="00181759">
      <w:pPr>
        <w:pStyle w:val="Paragraphedeliste"/>
        <w:numPr>
          <w:ilvl w:val="0"/>
          <w:numId w:val="2"/>
        </w:numPr>
        <w:spacing w:before="60" w:after="60"/>
      </w:pPr>
      <w:r>
        <w:t>déviation vers un voisin latéral droit avec probabilité ε/2</w:t>
      </w:r>
    </w:p>
    <w:p w:rsidR="00B20A92" w:rsidRDefault="00181759">
      <w:pPr>
        <w:pStyle w:val="Paragraphedeliste"/>
        <w:numPr>
          <w:ilvl w:val="0"/>
          <w:numId w:val="2"/>
        </w:numPr>
        <w:spacing w:before="60" w:after="60"/>
      </w:pPr>
      <w:r>
        <w:t>si collision/hors-grille : l'agent reste sur place (masse reportée sur la diagonale)</w:t>
      </w:r>
    </w:p>
    <w:p w:rsidR="00B20A92" w:rsidRDefault="00B20A92">
      <w:pPr>
        <w:spacing w:before="60" w:after="60"/>
      </w:pPr>
    </w:p>
    <w:p w:rsidR="00B20A92" w:rsidRDefault="00181759">
      <w:pPr>
        <w:spacing w:before="80" w:after="100"/>
        <w:jc w:val="both"/>
      </w:pPr>
      <w:r>
        <w:t>L'évolution de la distribution de probabilité est donnée par (Chapman-Kolmogorov) :</w:t>
      </w:r>
    </w:p>
    <w:p w:rsidR="00B20A92" w:rsidRDefault="00181759">
      <w:pPr>
        <w:spacing w:before="80" w:after="80"/>
        <w:jc w:val="center"/>
      </w:pPr>
      <w:r>
        <w:rPr>
          <w:rFonts w:ascii="Courier New" w:eastAsia="Courier New" w:hAnsi="Courier New" w:cs="Courier New"/>
          <w:b/>
          <w:bCs/>
          <w:color w:val="8B0000"/>
        </w:rPr>
        <w:t>πⁿ = π⁰ · Pⁿ</w:t>
      </w:r>
    </w:p>
    <w:p w:rsidR="00B20A92" w:rsidRDefault="00181759">
      <w:pPr>
        <w:pStyle w:val="Titre2"/>
      </w:pPr>
      <w:bookmarkStart w:id="5" w:name="_Toc223607426"/>
      <w:r>
        <w:t>2.3 États absorbants</w:t>
      </w:r>
      <w:bookmarkEnd w:id="5"/>
    </w:p>
    <w:p w:rsidR="00B20A92" w:rsidRDefault="00181759">
      <w:pPr>
        <w:spacing w:before="80" w:after="100"/>
        <w:jc w:val="both"/>
      </w:pPr>
      <w:r>
        <w:t>On distingue deux états terminaux absorbants (pᵢᵢ = 1) : GOAL (cible atteinte) et FAIL (collision irréversible, optionnel). L'analyse d'absorption repose sur la décomposition de P en blocs Q (transitoire × transitoire) et R (transitoire × absorbant), puis le calcul de la matrice fondamentale [4][8] :</w:t>
      </w:r>
    </w:p>
    <w:p w:rsidR="00B20A92" w:rsidRDefault="00181759">
      <w:pPr>
        <w:spacing w:before="80" w:after="80"/>
        <w:jc w:val="center"/>
      </w:pPr>
      <w:r>
        <w:rPr>
          <w:rFonts w:ascii="Courier New" w:eastAsia="Courier New" w:hAnsi="Courier New" w:cs="Courier New"/>
          <w:b/>
          <w:bCs/>
          <w:color w:val="8B0000"/>
        </w:rPr>
        <w:lastRenderedPageBreak/>
        <w:t>N = (I − Q)⁻¹</w:t>
      </w:r>
    </w:p>
    <w:p w:rsidR="00B20A92" w:rsidRDefault="00181759">
      <w:pPr>
        <w:spacing w:before="80" w:after="100"/>
        <w:jc w:val="both"/>
      </w:pPr>
      <w:r>
        <w:t>d'où l'on déduit le temps moyen d'absorption t = N·1 et les probabilités d'absorption B = N·R.</w:t>
      </w:r>
    </w:p>
    <w:p w:rsidR="00B20A92" w:rsidRDefault="00181759">
      <w:pPr>
        <w:pStyle w:val="Titre1"/>
        <w:pBdr>
          <w:bottom w:val="single" w:sz="8" w:space="6" w:color="C0392B"/>
        </w:pBdr>
      </w:pPr>
      <w:bookmarkStart w:id="6" w:name="_Toc223607427"/>
      <w:r>
        <w:t>3. Phase 1 — Définition des cas d'usage</w:t>
      </w:r>
      <w:bookmarkEnd w:id="6"/>
    </w:p>
    <w:p w:rsidR="00B20A92" w:rsidRDefault="00181759">
      <w:pPr>
        <w:pStyle w:val="Titre2"/>
      </w:pPr>
      <w:bookmarkStart w:id="7" w:name="_Toc223607428"/>
      <w:r>
        <w:t>3.1 Grilles utilisées</w:t>
      </w:r>
      <w:bookmarkEnd w:id="7"/>
    </w:p>
    <w:p w:rsidR="00B20A92" w:rsidRDefault="00181759">
      <w:pPr>
        <w:spacing w:before="80" w:after="100"/>
        <w:jc w:val="both"/>
      </w:pPr>
      <w:r>
        <w:t>Trois grilles ont été définies pour couvrir différentes complexités :</w:t>
      </w:r>
    </w:p>
    <w:p w:rsidR="00B20A92" w:rsidRDefault="00B20A92">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200"/>
        <w:gridCol w:w="1200"/>
        <w:gridCol w:w="2760"/>
      </w:tblGrid>
      <w:tr w:rsidR="00B20A92">
        <w:trPr>
          <w:tblHeader/>
        </w:trPr>
        <w:tc>
          <w:tcPr>
            <w:tcW w:w="2000" w:type="dxa"/>
            <w:tcBorders>
              <w:top w:val="single" w:sz="4" w:space="0" w:color="F5B7B1"/>
              <w:left w:val="single" w:sz="4" w:space="0" w:color="F5B7B1"/>
              <w:bottom w:val="single" w:sz="4" w:space="0" w:color="F5B7B1"/>
              <w:right w:val="single" w:sz="4" w:space="0" w:color="F5B7B1"/>
            </w:tcBorders>
            <w:shd w:val="clear" w:color="auto" w:fill="8B0000"/>
            <w:tcMar>
              <w:top w:w="100" w:type="dxa"/>
              <w:left w:w="120" w:type="dxa"/>
              <w:bottom w:w="100" w:type="dxa"/>
              <w:right w:w="120" w:type="dxa"/>
            </w:tcMar>
            <w:vAlign w:val="center"/>
          </w:tcPr>
          <w:p w:rsidR="00B20A92" w:rsidRDefault="00181759">
            <w:pPr>
              <w:jc w:val="center"/>
            </w:pPr>
            <w:r>
              <w:rPr>
                <w:b/>
                <w:bCs/>
                <w:color w:val="FFFFFF"/>
                <w:sz w:val="20"/>
                <w:szCs w:val="20"/>
              </w:rPr>
              <w:t>Grille</w:t>
            </w:r>
          </w:p>
        </w:tc>
        <w:tc>
          <w:tcPr>
            <w:tcW w:w="1200" w:type="dxa"/>
            <w:tcBorders>
              <w:top w:val="single" w:sz="4" w:space="0" w:color="F5B7B1"/>
              <w:left w:val="single" w:sz="4" w:space="0" w:color="F5B7B1"/>
              <w:bottom w:val="single" w:sz="4" w:space="0" w:color="F5B7B1"/>
              <w:right w:val="single" w:sz="4" w:space="0" w:color="F5B7B1"/>
            </w:tcBorders>
            <w:shd w:val="clear" w:color="auto" w:fill="8B0000"/>
            <w:tcMar>
              <w:top w:w="100" w:type="dxa"/>
              <w:left w:w="120" w:type="dxa"/>
              <w:bottom w:w="100" w:type="dxa"/>
              <w:right w:w="120" w:type="dxa"/>
            </w:tcMar>
            <w:vAlign w:val="center"/>
          </w:tcPr>
          <w:p w:rsidR="00B20A92" w:rsidRDefault="00181759">
            <w:pPr>
              <w:jc w:val="center"/>
            </w:pPr>
            <w:r>
              <w:rPr>
                <w:b/>
                <w:bCs/>
                <w:color w:val="FFFFFF"/>
                <w:sz w:val="20"/>
                <w:szCs w:val="20"/>
              </w:rPr>
              <w:t>Taille</w:t>
            </w:r>
          </w:p>
        </w:tc>
        <w:tc>
          <w:tcPr>
            <w:tcW w:w="1200" w:type="dxa"/>
            <w:tcBorders>
              <w:top w:val="single" w:sz="4" w:space="0" w:color="F5B7B1"/>
              <w:left w:val="single" w:sz="4" w:space="0" w:color="F5B7B1"/>
              <w:bottom w:val="single" w:sz="4" w:space="0" w:color="F5B7B1"/>
              <w:right w:val="single" w:sz="4" w:space="0" w:color="F5B7B1"/>
            </w:tcBorders>
            <w:shd w:val="clear" w:color="auto" w:fill="8B0000"/>
            <w:tcMar>
              <w:top w:w="100" w:type="dxa"/>
              <w:left w:w="120" w:type="dxa"/>
              <w:bottom w:w="100" w:type="dxa"/>
              <w:right w:w="120" w:type="dxa"/>
            </w:tcMar>
            <w:vAlign w:val="center"/>
          </w:tcPr>
          <w:p w:rsidR="00B20A92" w:rsidRDefault="00181759">
            <w:pPr>
              <w:jc w:val="center"/>
            </w:pPr>
            <w:r>
              <w:rPr>
                <w:b/>
                <w:bCs/>
                <w:color w:val="FFFFFF"/>
                <w:sz w:val="20"/>
                <w:szCs w:val="20"/>
              </w:rPr>
              <w:t>Start</w:t>
            </w:r>
          </w:p>
        </w:tc>
        <w:tc>
          <w:tcPr>
            <w:tcW w:w="1200" w:type="dxa"/>
            <w:tcBorders>
              <w:top w:val="single" w:sz="4" w:space="0" w:color="F5B7B1"/>
              <w:left w:val="single" w:sz="4" w:space="0" w:color="F5B7B1"/>
              <w:bottom w:val="single" w:sz="4" w:space="0" w:color="F5B7B1"/>
              <w:right w:val="single" w:sz="4" w:space="0" w:color="F5B7B1"/>
            </w:tcBorders>
            <w:shd w:val="clear" w:color="auto" w:fill="8B0000"/>
            <w:tcMar>
              <w:top w:w="100" w:type="dxa"/>
              <w:left w:w="120" w:type="dxa"/>
              <w:bottom w:w="100" w:type="dxa"/>
              <w:right w:w="120" w:type="dxa"/>
            </w:tcMar>
            <w:vAlign w:val="center"/>
          </w:tcPr>
          <w:p w:rsidR="00B20A92" w:rsidRDefault="00181759">
            <w:pPr>
              <w:jc w:val="center"/>
            </w:pPr>
            <w:r>
              <w:rPr>
                <w:b/>
                <w:bCs/>
                <w:color w:val="FFFFFF"/>
                <w:sz w:val="20"/>
                <w:szCs w:val="20"/>
              </w:rPr>
              <w:t>Goal</w:t>
            </w:r>
          </w:p>
        </w:tc>
        <w:tc>
          <w:tcPr>
            <w:tcW w:w="2760" w:type="dxa"/>
            <w:tcBorders>
              <w:top w:val="single" w:sz="4" w:space="0" w:color="F5B7B1"/>
              <w:left w:val="single" w:sz="4" w:space="0" w:color="F5B7B1"/>
              <w:bottom w:val="single" w:sz="4" w:space="0" w:color="F5B7B1"/>
              <w:right w:val="single" w:sz="4" w:space="0" w:color="F5B7B1"/>
            </w:tcBorders>
            <w:shd w:val="clear" w:color="auto" w:fill="8B0000"/>
            <w:tcMar>
              <w:top w:w="100" w:type="dxa"/>
              <w:left w:w="120" w:type="dxa"/>
              <w:bottom w:w="100" w:type="dxa"/>
              <w:right w:w="120" w:type="dxa"/>
            </w:tcMar>
            <w:vAlign w:val="center"/>
          </w:tcPr>
          <w:p w:rsidR="00B20A92" w:rsidRDefault="00181759">
            <w:pPr>
              <w:jc w:val="center"/>
            </w:pPr>
            <w:r>
              <w:rPr>
                <w:b/>
                <w:bCs/>
                <w:color w:val="FFFFFF"/>
                <w:sz w:val="20"/>
                <w:szCs w:val="20"/>
              </w:rPr>
              <w:t>Type</w:t>
            </w:r>
          </w:p>
        </w:tc>
      </w:tr>
      <w:tr w:rsidR="00B20A92">
        <w:tc>
          <w:tcPr>
            <w:tcW w:w="20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Simple</w:t>
            </w:r>
          </w:p>
        </w:tc>
        <w:tc>
          <w:tcPr>
            <w:tcW w:w="12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8×8</w:t>
            </w:r>
          </w:p>
        </w:tc>
        <w:tc>
          <w:tcPr>
            <w:tcW w:w="12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(0,0)</w:t>
            </w:r>
          </w:p>
        </w:tc>
        <w:tc>
          <w:tcPr>
            <w:tcW w:w="12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(7,7)</w:t>
            </w:r>
          </w:p>
        </w:tc>
        <w:tc>
          <w:tcPr>
            <w:tcW w:w="276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Coûts uniformes</w:t>
            </w:r>
          </w:p>
        </w:tc>
      </w:tr>
      <w:tr w:rsidR="00B20A92">
        <w:tc>
          <w:tcPr>
            <w:tcW w:w="20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Labyrinthe</w:t>
            </w:r>
          </w:p>
        </w:tc>
        <w:tc>
          <w:tcPr>
            <w:tcW w:w="12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10×10</w:t>
            </w:r>
          </w:p>
        </w:tc>
        <w:tc>
          <w:tcPr>
            <w:tcW w:w="12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(0,0)</w:t>
            </w:r>
          </w:p>
        </w:tc>
        <w:tc>
          <w:tcPr>
            <w:tcW w:w="12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(9,9)</w:t>
            </w:r>
          </w:p>
        </w:tc>
        <w:tc>
          <w:tcPr>
            <w:tcW w:w="276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Corridors étroits</w:t>
            </w:r>
          </w:p>
        </w:tc>
      </w:tr>
      <w:tr w:rsidR="00B20A92">
        <w:tc>
          <w:tcPr>
            <w:tcW w:w="20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Pondérée</w:t>
            </w:r>
          </w:p>
        </w:tc>
        <w:tc>
          <w:tcPr>
            <w:tcW w:w="12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8×8</w:t>
            </w:r>
          </w:p>
        </w:tc>
        <w:tc>
          <w:tcPr>
            <w:tcW w:w="12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(0,0)</w:t>
            </w:r>
          </w:p>
        </w:tc>
        <w:tc>
          <w:tcPr>
            <w:tcW w:w="12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(7,7)</w:t>
            </w:r>
          </w:p>
        </w:tc>
        <w:tc>
          <w:tcPr>
            <w:tcW w:w="276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Terrains variables (coûts 1/3)</w:t>
            </w:r>
          </w:p>
        </w:tc>
      </w:tr>
    </w:tbl>
    <w:p w:rsidR="00B20A92" w:rsidRDefault="00181759">
      <w:pPr>
        <w:spacing w:before="60" w:after="160"/>
        <w:jc w:val="center"/>
      </w:pPr>
      <w:r>
        <w:rPr>
          <w:i/>
          <w:iCs/>
          <w:color w:val="5A6474"/>
          <w:sz w:val="18"/>
          <w:szCs w:val="18"/>
        </w:rPr>
        <w:t>Tableau 1 — Grilles de test et paramètres</w:t>
      </w:r>
    </w:p>
    <w:p w:rsidR="00B20A92" w:rsidRDefault="00B20A92">
      <w:pPr>
        <w:spacing w:before="60" w:after="60"/>
      </w:pPr>
    </w:p>
    <w:p w:rsidR="00B20A92" w:rsidRDefault="00181759">
      <w:pPr>
        <w:spacing w:before="80" w:after="100"/>
        <w:jc w:val="both"/>
      </w:pPr>
      <w:r>
        <w:t>Les niveaux d'incertitude testés sont : ε ∈ {0.00, 0.10, 0.20, 0.30} (faible, modéré, fort) — conformément à l'expérience E.2.</w:t>
      </w:r>
    </w:p>
    <w:p w:rsidR="00B20A92" w:rsidRDefault="00181759">
      <w:pPr>
        <w:pStyle w:val="Titre2"/>
      </w:pPr>
      <w:bookmarkStart w:id="8" w:name="_Toc223607429"/>
      <w:r>
        <w:t>3.2 Visualisation des chemins A*</w:t>
      </w:r>
      <w:bookmarkEnd w:id="8"/>
    </w:p>
    <w:p w:rsidR="00B20A92" w:rsidRDefault="00181759">
      <w:pPr>
        <w:spacing w:before="120" w:after="60"/>
        <w:jc w:val="center"/>
      </w:pPr>
      <w:r>
        <w:rPr>
          <w:noProof/>
        </w:rPr>
        <w:drawing>
          <wp:inline distT="0" distB="0" distL="0" distR="0">
            <wp:extent cx="2057400" cy="215107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57400" cy="2151070"/>
                    </a:xfrm>
                    <a:prstGeom prst="rect">
                      <a:avLst/>
                    </a:prstGeom>
                  </pic:spPr>
                </pic:pic>
              </a:graphicData>
            </a:graphic>
          </wp:inline>
        </w:drawing>
      </w:r>
    </w:p>
    <w:p w:rsidR="00B20A92" w:rsidRDefault="00181759">
      <w:pPr>
        <w:spacing w:before="120" w:after="60"/>
        <w:jc w:val="center"/>
      </w:pPr>
      <w:r>
        <w:rPr>
          <w:noProof/>
        </w:rPr>
        <w:drawing>
          <wp:inline distT="0" distB="0" distL="0" distR="0">
            <wp:extent cx="2057400" cy="215107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57400" cy="2151070"/>
                    </a:xfrm>
                    <a:prstGeom prst="rect">
                      <a:avLst/>
                    </a:prstGeom>
                  </pic:spPr>
                </pic:pic>
              </a:graphicData>
            </a:graphic>
          </wp:inline>
        </w:drawing>
      </w:r>
    </w:p>
    <w:p w:rsidR="00B20A92" w:rsidRDefault="00181759">
      <w:pPr>
        <w:spacing w:before="60" w:after="160"/>
        <w:jc w:val="center"/>
      </w:pPr>
      <w:r>
        <w:rPr>
          <w:i/>
          <w:iCs/>
          <w:color w:val="5A6474"/>
          <w:sz w:val="18"/>
          <w:szCs w:val="18"/>
        </w:rPr>
        <w:t>Figure 1 — Chemin A* (en bleu) sur la grille simple (gauche) et le labyrinthe (droite). S = vert, G = rouge, # = obstacle.</w:t>
      </w:r>
    </w:p>
    <w:p w:rsidR="00B20A92" w:rsidRDefault="00181759">
      <w:pPr>
        <w:pStyle w:val="Titre1"/>
        <w:pBdr>
          <w:bottom w:val="single" w:sz="8" w:space="6" w:color="C0392B"/>
        </w:pBdr>
      </w:pPr>
      <w:bookmarkStart w:id="9" w:name="_Toc223607430"/>
      <w:r>
        <w:t>4. Phase 2 — Planification déterministe avec A*</w:t>
      </w:r>
      <w:bookmarkEnd w:id="9"/>
    </w:p>
    <w:p w:rsidR="00B20A92" w:rsidRDefault="00181759">
      <w:pPr>
        <w:pStyle w:val="Titre2"/>
      </w:pPr>
      <w:bookmarkStart w:id="10" w:name="_Toc223607431"/>
      <w:r>
        <w:lastRenderedPageBreak/>
        <w:t>4.1 Implémentation</w:t>
      </w:r>
      <w:bookmarkEnd w:id="10"/>
    </w:p>
    <w:p w:rsidR="00B20A92" w:rsidRDefault="00181759">
      <w:pPr>
        <w:spacing w:before="80" w:after="100"/>
        <w:jc w:val="both"/>
      </w:pPr>
      <w:r>
        <w:t>L'algorithme A* est implémenté dans le module astar.py avec une file de priorité (heap) pour OPEN et un ensemble pour CLOSED [1][9]. La fonction best_first_search est générique et paramétrée par les poids wᵍ (sur g) et wʰ (sur h), permettant de dériver :</w:t>
      </w:r>
    </w:p>
    <w:p w:rsidR="00B20A92" w:rsidRPr="00181759" w:rsidRDefault="00181759">
      <w:pPr>
        <w:pStyle w:val="Paragraphedeliste"/>
        <w:numPr>
          <w:ilvl w:val="0"/>
          <w:numId w:val="2"/>
        </w:numPr>
        <w:spacing w:before="60" w:after="60"/>
        <w:rPr>
          <w:lang w:val="en-CA"/>
        </w:rPr>
      </w:pPr>
      <w:r>
        <w:rPr>
          <w:lang w:val="en-CA"/>
        </w:rPr>
        <w:t>UCS : f = g (w</w:t>
      </w:r>
      <w:r>
        <w:t>ᵍ</w:t>
      </w:r>
      <w:r>
        <w:rPr>
          <w:lang w:val="en-CA"/>
        </w:rPr>
        <w:t>=1, wʰ=0) — optimal, exhaustif</w:t>
      </w:r>
    </w:p>
    <w:p w:rsidR="00B20A92" w:rsidRDefault="00181759">
      <w:pPr>
        <w:pStyle w:val="Paragraphedeliste"/>
        <w:numPr>
          <w:ilvl w:val="0"/>
          <w:numId w:val="2"/>
        </w:numPr>
        <w:spacing w:before="60" w:after="60"/>
      </w:pPr>
      <w:r>
        <w:t>Greedy Best-First : f = h (wᵍ=0, wʰ=1) — rapide, non optimal en général</w:t>
      </w:r>
    </w:p>
    <w:p w:rsidR="00B20A92" w:rsidRDefault="00181759">
      <w:pPr>
        <w:pStyle w:val="Paragraphedeliste"/>
        <w:numPr>
          <w:ilvl w:val="0"/>
          <w:numId w:val="2"/>
        </w:numPr>
        <w:spacing w:before="60" w:after="60"/>
      </w:pPr>
      <w:r>
        <w:t>A* : f = g + h (wᵍ=1, wʰ=1) — optimal si h admissible</w:t>
      </w:r>
    </w:p>
    <w:p w:rsidR="00B20A92" w:rsidRDefault="00181759">
      <w:pPr>
        <w:pStyle w:val="Paragraphedeliste"/>
        <w:numPr>
          <w:ilvl w:val="0"/>
          <w:numId w:val="2"/>
        </w:numPr>
        <w:spacing w:before="60" w:after="60"/>
      </w:pPr>
      <w:r>
        <w:t>A* pondéré : f = g + w·h (w=2) — sous-optimal mais plus rapide</w:t>
      </w:r>
    </w:p>
    <w:p w:rsidR="00B20A92" w:rsidRDefault="00181759">
      <w:pPr>
        <w:pStyle w:val="Titre2"/>
      </w:pPr>
      <w:bookmarkStart w:id="11" w:name="_Toc223607432"/>
      <w:r>
        <w:t>4.2 Admissibilité et cohérence de h</w:t>
      </w:r>
      <w:bookmarkEnd w:id="11"/>
    </w:p>
    <w:p w:rsidR="00B20A92" w:rsidRDefault="00181759">
      <w:pPr>
        <w:spacing w:before="80" w:after="100"/>
        <w:jc w:val="both"/>
      </w:pPr>
      <w:r>
        <w:t>La distance de Manhattan satisfait les deux propriétés clés [2][9] :</w:t>
      </w:r>
    </w:p>
    <w:p w:rsidR="00B20A92" w:rsidRDefault="00181759">
      <w:pPr>
        <w:pStyle w:val="Paragraphedeliste"/>
        <w:numPr>
          <w:ilvl w:val="0"/>
          <w:numId w:val="2"/>
        </w:numPr>
        <w:spacing w:before="60" w:after="60"/>
      </w:pPr>
      <w:r>
        <w:t>Admissibilité : h(n) ≤ h*(n) (coût réel optimal). Ici h(n) ≤ h*(n) car Manhattan ignore les obstacles.</w:t>
      </w:r>
    </w:p>
    <w:p w:rsidR="00B20A92" w:rsidRDefault="00181759">
      <w:pPr>
        <w:pStyle w:val="Paragraphedeliste"/>
        <w:numPr>
          <w:ilvl w:val="0"/>
          <w:numId w:val="2"/>
        </w:numPr>
        <w:spacing w:before="60" w:after="60"/>
      </w:pPr>
      <w:r>
        <w:t>Cohérence : h(n) ≤ c(n,n') + h(n') pour tout successeur n'. Vérifiée par l'inégalité triangulaire de la norme L1.</w:t>
      </w:r>
    </w:p>
    <w:p w:rsidR="00B20A92" w:rsidRDefault="00B20A92">
      <w:pPr>
        <w:spacing w:before="60" w:after="60"/>
      </w:pPr>
    </w:p>
    <w:p w:rsidR="00B20A92" w:rsidRDefault="00181759">
      <w:pPr>
        <w:spacing w:before="80" w:after="100"/>
        <w:jc w:val="both"/>
      </w:pPr>
      <w:r>
        <w:t>Conséquence : A* avec heuristique cohérente ne redéveloppe jamais un nœud (propriété CLOSED valide). La solution trouvée est garantie optimale [1].</w:t>
      </w:r>
    </w:p>
    <w:p w:rsidR="00B20A92" w:rsidRDefault="00181759">
      <w:pPr>
        <w:pStyle w:val="Titre2"/>
      </w:pPr>
      <w:bookmarkStart w:id="12" w:name="_Toc223607433"/>
      <w:r>
        <w:t>4.3 Résultats comparatifs</w:t>
      </w:r>
      <w:bookmarkEnd w:id="12"/>
    </w:p>
    <w:p w:rsidR="00B20A92" w:rsidRDefault="00B20A92">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900"/>
        <w:gridCol w:w="1200"/>
        <w:gridCol w:w="1000"/>
        <w:gridCol w:w="1100"/>
        <w:gridCol w:w="1860"/>
      </w:tblGrid>
      <w:tr w:rsidR="00B20A92">
        <w:trPr>
          <w:tblHeader/>
        </w:trPr>
        <w:tc>
          <w:tcPr>
            <w:tcW w:w="2300" w:type="dxa"/>
            <w:tcBorders>
              <w:top w:val="single" w:sz="4" w:space="0" w:color="F5B7B1"/>
              <w:left w:val="single" w:sz="4" w:space="0" w:color="F5B7B1"/>
              <w:bottom w:val="single" w:sz="4" w:space="0" w:color="F5B7B1"/>
              <w:right w:val="single" w:sz="4" w:space="0" w:color="F5B7B1"/>
            </w:tcBorders>
            <w:shd w:val="clear" w:color="auto" w:fill="8B0000"/>
            <w:tcMar>
              <w:top w:w="100" w:type="dxa"/>
              <w:left w:w="120" w:type="dxa"/>
              <w:bottom w:w="100" w:type="dxa"/>
              <w:right w:w="120" w:type="dxa"/>
            </w:tcMar>
            <w:vAlign w:val="center"/>
          </w:tcPr>
          <w:p w:rsidR="00B20A92" w:rsidRDefault="00181759">
            <w:pPr>
              <w:jc w:val="center"/>
            </w:pPr>
            <w:r>
              <w:rPr>
                <w:b/>
                <w:bCs/>
                <w:color w:val="FFFFFF"/>
                <w:sz w:val="20"/>
                <w:szCs w:val="20"/>
              </w:rPr>
              <w:t>Algorithme</w:t>
            </w:r>
          </w:p>
        </w:tc>
        <w:tc>
          <w:tcPr>
            <w:tcW w:w="900" w:type="dxa"/>
            <w:tcBorders>
              <w:top w:val="single" w:sz="4" w:space="0" w:color="F5B7B1"/>
              <w:left w:val="single" w:sz="4" w:space="0" w:color="F5B7B1"/>
              <w:bottom w:val="single" w:sz="4" w:space="0" w:color="F5B7B1"/>
              <w:right w:val="single" w:sz="4" w:space="0" w:color="F5B7B1"/>
            </w:tcBorders>
            <w:shd w:val="clear" w:color="auto" w:fill="8B0000"/>
            <w:tcMar>
              <w:top w:w="100" w:type="dxa"/>
              <w:left w:w="120" w:type="dxa"/>
              <w:bottom w:w="100" w:type="dxa"/>
              <w:right w:w="120" w:type="dxa"/>
            </w:tcMar>
            <w:vAlign w:val="center"/>
          </w:tcPr>
          <w:p w:rsidR="00B20A92" w:rsidRDefault="00181759">
            <w:pPr>
              <w:jc w:val="center"/>
            </w:pPr>
            <w:r>
              <w:rPr>
                <w:b/>
                <w:bCs/>
                <w:color w:val="FFFFFF"/>
                <w:sz w:val="20"/>
                <w:szCs w:val="20"/>
              </w:rPr>
              <w:t>Coût</w:t>
            </w:r>
          </w:p>
        </w:tc>
        <w:tc>
          <w:tcPr>
            <w:tcW w:w="1200" w:type="dxa"/>
            <w:tcBorders>
              <w:top w:val="single" w:sz="4" w:space="0" w:color="F5B7B1"/>
              <w:left w:val="single" w:sz="4" w:space="0" w:color="F5B7B1"/>
              <w:bottom w:val="single" w:sz="4" w:space="0" w:color="F5B7B1"/>
              <w:right w:val="single" w:sz="4" w:space="0" w:color="F5B7B1"/>
            </w:tcBorders>
            <w:shd w:val="clear" w:color="auto" w:fill="8B0000"/>
            <w:tcMar>
              <w:top w:w="100" w:type="dxa"/>
              <w:left w:w="120" w:type="dxa"/>
              <w:bottom w:w="100" w:type="dxa"/>
              <w:right w:w="120" w:type="dxa"/>
            </w:tcMar>
            <w:vAlign w:val="center"/>
          </w:tcPr>
          <w:p w:rsidR="00B20A92" w:rsidRDefault="00181759">
            <w:pPr>
              <w:jc w:val="center"/>
            </w:pPr>
            <w:r>
              <w:rPr>
                <w:b/>
                <w:bCs/>
                <w:color w:val="FFFFFF"/>
                <w:sz w:val="20"/>
                <w:szCs w:val="20"/>
              </w:rPr>
              <w:t>Nœuds dév.</w:t>
            </w:r>
          </w:p>
        </w:tc>
        <w:tc>
          <w:tcPr>
            <w:tcW w:w="1000" w:type="dxa"/>
            <w:tcBorders>
              <w:top w:val="single" w:sz="4" w:space="0" w:color="F5B7B1"/>
              <w:left w:val="single" w:sz="4" w:space="0" w:color="F5B7B1"/>
              <w:bottom w:val="single" w:sz="4" w:space="0" w:color="F5B7B1"/>
              <w:right w:val="single" w:sz="4" w:space="0" w:color="F5B7B1"/>
            </w:tcBorders>
            <w:shd w:val="clear" w:color="auto" w:fill="8B0000"/>
            <w:tcMar>
              <w:top w:w="100" w:type="dxa"/>
              <w:left w:w="120" w:type="dxa"/>
              <w:bottom w:w="100" w:type="dxa"/>
              <w:right w:w="120" w:type="dxa"/>
            </w:tcMar>
            <w:vAlign w:val="center"/>
          </w:tcPr>
          <w:p w:rsidR="00B20A92" w:rsidRDefault="00181759">
            <w:pPr>
              <w:jc w:val="center"/>
            </w:pPr>
            <w:r>
              <w:rPr>
                <w:b/>
                <w:bCs/>
                <w:color w:val="FFFFFF"/>
                <w:sz w:val="20"/>
                <w:szCs w:val="20"/>
              </w:rPr>
              <w:t>OPEN max</w:t>
            </w:r>
          </w:p>
        </w:tc>
        <w:tc>
          <w:tcPr>
            <w:tcW w:w="1100" w:type="dxa"/>
            <w:tcBorders>
              <w:top w:val="single" w:sz="4" w:space="0" w:color="F5B7B1"/>
              <w:left w:val="single" w:sz="4" w:space="0" w:color="F5B7B1"/>
              <w:bottom w:val="single" w:sz="4" w:space="0" w:color="F5B7B1"/>
              <w:right w:val="single" w:sz="4" w:space="0" w:color="F5B7B1"/>
            </w:tcBorders>
            <w:shd w:val="clear" w:color="auto" w:fill="8B0000"/>
            <w:tcMar>
              <w:top w:w="100" w:type="dxa"/>
              <w:left w:w="120" w:type="dxa"/>
              <w:bottom w:w="100" w:type="dxa"/>
              <w:right w:w="120" w:type="dxa"/>
            </w:tcMar>
            <w:vAlign w:val="center"/>
          </w:tcPr>
          <w:p w:rsidR="00B20A92" w:rsidRDefault="00181759">
            <w:pPr>
              <w:jc w:val="center"/>
            </w:pPr>
            <w:r>
              <w:rPr>
                <w:b/>
                <w:bCs/>
                <w:color w:val="FFFFFF"/>
                <w:sz w:val="20"/>
                <w:szCs w:val="20"/>
              </w:rPr>
              <w:t>Temps (ms)</w:t>
            </w:r>
          </w:p>
        </w:tc>
        <w:tc>
          <w:tcPr>
            <w:tcW w:w="1860" w:type="dxa"/>
            <w:tcBorders>
              <w:top w:val="single" w:sz="4" w:space="0" w:color="F5B7B1"/>
              <w:left w:val="single" w:sz="4" w:space="0" w:color="F5B7B1"/>
              <w:bottom w:val="single" w:sz="4" w:space="0" w:color="F5B7B1"/>
              <w:right w:val="single" w:sz="4" w:space="0" w:color="F5B7B1"/>
            </w:tcBorders>
            <w:shd w:val="clear" w:color="auto" w:fill="8B0000"/>
            <w:tcMar>
              <w:top w:w="100" w:type="dxa"/>
              <w:left w:w="120" w:type="dxa"/>
              <w:bottom w:w="100" w:type="dxa"/>
              <w:right w:w="120" w:type="dxa"/>
            </w:tcMar>
            <w:vAlign w:val="center"/>
          </w:tcPr>
          <w:p w:rsidR="00B20A92" w:rsidRDefault="00181759">
            <w:pPr>
              <w:jc w:val="center"/>
            </w:pPr>
            <w:r>
              <w:rPr>
                <w:b/>
                <w:bCs/>
                <w:color w:val="FFFFFF"/>
                <w:sz w:val="20"/>
                <w:szCs w:val="20"/>
              </w:rPr>
              <w:t>Grille</w:t>
            </w:r>
          </w:p>
        </w:tc>
      </w:tr>
      <w:tr w:rsidR="00B20A92">
        <w:tc>
          <w:tcPr>
            <w:tcW w:w="23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UCS</w:t>
            </w:r>
          </w:p>
        </w:tc>
        <w:tc>
          <w:tcPr>
            <w:tcW w:w="9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14.0</w:t>
            </w:r>
          </w:p>
        </w:tc>
        <w:tc>
          <w:tcPr>
            <w:tcW w:w="12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53</w:t>
            </w:r>
          </w:p>
        </w:tc>
        <w:tc>
          <w:tcPr>
            <w:tcW w:w="10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7</w:t>
            </w:r>
          </w:p>
        </w:tc>
        <w:tc>
          <w:tcPr>
            <w:tcW w:w="11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0.159</w:t>
            </w:r>
          </w:p>
        </w:tc>
        <w:tc>
          <w:tcPr>
            <w:tcW w:w="186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Simple</w:t>
            </w:r>
          </w:p>
        </w:tc>
      </w:tr>
      <w:tr w:rsidR="00B20A92">
        <w:tc>
          <w:tcPr>
            <w:tcW w:w="23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Greedy</w:t>
            </w:r>
          </w:p>
        </w:tc>
        <w:tc>
          <w:tcPr>
            <w:tcW w:w="9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14.0</w:t>
            </w:r>
          </w:p>
        </w:tc>
        <w:tc>
          <w:tcPr>
            <w:tcW w:w="12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15</w:t>
            </w:r>
          </w:p>
        </w:tc>
        <w:tc>
          <w:tcPr>
            <w:tcW w:w="10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10</w:t>
            </w:r>
          </w:p>
        </w:tc>
        <w:tc>
          <w:tcPr>
            <w:tcW w:w="11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0.042</w:t>
            </w:r>
          </w:p>
        </w:tc>
        <w:tc>
          <w:tcPr>
            <w:tcW w:w="186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Simple</w:t>
            </w:r>
          </w:p>
        </w:tc>
      </w:tr>
      <w:tr w:rsidR="00B20A92">
        <w:tc>
          <w:tcPr>
            <w:tcW w:w="23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A*</w:t>
            </w:r>
          </w:p>
        </w:tc>
        <w:tc>
          <w:tcPr>
            <w:tcW w:w="9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14.0</w:t>
            </w:r>
          </w:p>
        </w:tc>
        <w:tc>
          <w:tcPr>
            <w:tcW w:w="12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53</w:t>
            </w:r>
          </w:p>
        </w:tc>
        <w:tc>
          <w:tcPr>
            <w:tcW w:w="10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7</w:t>
            </w:r>
          </w:p>
        </w:tc>
        <w:tc>
          <w:tcPr>
            <w:tcW w:w="11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0.144</w:t>
            </w:r>
          </w:p>
        </w:tc>
        <w:tc>
          <w:tcPr>
            <w:tcW w:w="186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Simple</w:t>
            </w:r>
          </w:p>
        </w:tc>
      </w:tr>
      <w:tr w:rsidR="00B20A92">
        <w:tc>
          <w:tcPr>
            <w:tcW w:w="23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A* pondéré (w=2)</w:t>
            </w:r>
          </w:p>
        </w:tc>
        <w:tc>
          <w:tcPr>
            <w:tcW w:w="9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14.0</w:t>
            </w:r>
          </w:p>
        </w:tc>
        <w:tc>
          <w:tcPr>
            <w:tcW w:w="12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15</w:t>
            </w:r>
          </w:p>
        </w:tc>
        <w:tc>
          <w:tcPr>
            <w:tcW w:w="10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10</w:t>
            </w:r>
          </w:p>
        </w:tc>
        <w:tc>
          <w:tcPr>
            <w:tcW w:w="11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0.036</w:t>
            </w:r>
          </w:p>
        </w:tc>
        <w:tc>
          <w:tcPr>
            <w:tcW w:w="186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Simple</w:t>
            </w:r>
          </w:p>
        </w:tc>
      </w:tr>
      <w:tr w:rsidR="00B20A92">
        <w:tc>
          <w:tcPr>
            <w:tcW w:w="23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UCS</w:t>
            </w:r>
          </w:p>
        </w:tc>
        <w:tc>
          <w:tcPr>
            <w:tcW w:w="9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18.0</w:t>
            </w:r>
          </w:p>
        </w:tc>
        <w:tc>
          <w:tcPr>
            <w:tcW w:w="12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46</w:t>
            </w:r>
          </w:p>
        </w:tc>
        <w:tc>
          <w:tcPr>
            <w:tcW w:w="10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4</w:t>
            </w:r>
          </w:p>
        </w:tc>
        <w:tc>
          <w:tcPr>
            <w:tcW w:w="11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0.148</w:t>
            </w:r>
          </w:p>
        </w:tc>
        <w:tc>
          <w:tcPr>
            <w:tcW w:w="186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Labyrinthe</w:t>
            </w:r>
          </w:p>
        </w:tc>
      </w:tr>
      <w:tr w:rsidR="00B20A92">
        <w:tc>
          <w:tcPr>
            <w:tcW w:w="23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Greedy</w:t>
            </w:r>
          </w:p>
        </w:tc>
        <w:tc>
          <w:tcPr>
            <w:tcW w:w="9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18.0</w:t>
            </w:r>
          </w:p>
        </w:tc>
        <w:tc>
          <w:tcPr>
            <w:tcW w:w="12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20</w:t>
            </w:r>
          </w:p>
        </w:tc>
        <w:tc>
          <w:tcPr>
            <w:tcW w:w="10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5</w:t>
            </w:r>
          </w:p>
        </w:tc>
        <w:tc>
          <w:tcPr>
            <w:tcW w:w="11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0.056</w:t>
            </w:r>
          </w:p>
        </w:tc>
        <w:tc>
          <w:tcPr>
            <w:tcW w:w="186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Labyrinthe</w:t>
            </w:r>
          </w:p>
        </w:tc>
      </w:tr>
      <w:tr w:rsidR="00B20A92">
        <w:tc>
          <w:tcPr>
            <w:tcW w:w="23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A*</w:t>
            </w:r>
          </w:p>
        </w:tc>
        <w:tc>
          <w:tcPr>
            <w:tcW w:w="9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18.0</w:t>
            </w:r>
          </w:p>
        </w:tc>
        <w:tc>
          <w:tcPr>
            <w:tcW w:w="12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20</w:t>
            </w:r>
          </w:p>
        </w:tc>
        <w:tc>
          <w:tcPr>
            <w:tcW w:w="10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5</w:t>
            </w:r>
          </w:p>
        </w:tc>
        <w:tc>
          <w:tcPr>
            <w:tcW w:w="11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0.061</w:t>
            </w:r>
          </w:p>
        </w:tc>
        <w:tc>
          <w:tcPr>
            <w:tcW w:w="186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Labyrinthe</w:t>
            </w:r>
          </w:p>
        </w:tc>
      </w:tr>
      <w:tr w:rsidR="00B20A92">
        <w:tc>
          <w:tcPr>
            <w:tcW w:w="23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A* pondéré (w=2)</w:t>
            </w:r>
          </w:p>
        </w:tc>
        <w:tc>
          <w:tcPr>
            <w:tcW w:w="9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18.0</w:t>
            </w:r>
          </w:p>
        </w:tc>
        <w:tc>
          <w:tcPr>
            <w:tcW w:w="12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20</w:t>
            </w:r>
          </w:p>
        </w:tc>
        <w:tc>
          <w:tcPr>
            <w:tcW w:w="10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5</w:t>
            </w:r>
          </w:p>
        </w:tc>
        <w:tc>
          <w:tcPr>
            <w:tcW w:w="11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0.061</w:t>
            </w:r>
          </w:p>
        </w:tc>
        <w:tc>
          <w:tcPr>
            <w:tcW w:w="186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Labyrinthe</w:t>
            </w:r>
          </w:p>
        </w:tc>
      </w:tr>
    </w:tbl>
    <w:p w:rsidR="00B20A92" w:rsidRDefault="00181759">
      <w:pPr>
        <w:spacing w:before="60" w:after="160"/>
        <w:jc w:val="center"/>
      </w:pPr>
      <w:r>
        <w:rPr>
          <w:i/>
          <w:iCs/>
          <w:color w:val="5A6474"/>
          <w:sz w:val="18"/>
          <w:szCs w:val="18"/>
        </w:rPr>
        <w:t>Tableau 2 — Comparaison UCS / Greedy / A* sur les deux grilles principales</w:t>
      </w:r>
    </w:p>
    <w:p w:rsidR="00B20A92" w:rsidRDefault="00B20A92">
      <w:pPr>
        <w:spacing w:before="60" w:after="60"/>
      </w:pPr>
    </w:p>
    <w:p w:rsidR="00B20A92" w:rsidRDefault="00181759">
      <w:pPr>
        <w:spacing w:before="120" w:after="60"/>
        <w:jc w:val="center"/>
      </w:pPr>
      <w:r>
        <w:rPr>
          <w:noProof/>
        </w:rPr>
        <w:drawing>
          <wp:inline distT="0" distB="0" distL="0" distR="0">
            <wp:extent cx="5943600" cy="153053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1530530"/>
                    </a:xfrm>
                    <a:prstGeom prst="rect">
                      <a:avLst/>
                    </a:prstGeom>
                  </pic:spPr>
                </pic:pic>
              </a:graphicData>
            </a:graphic>
          </wp:inline>
        </w:drawing>
      </w:r>
    </w:p>
    <w:p w:rsidR="00B20A92" w:rsidRDefault="00181759">
      <w:pPr>
        <w:spacing w:before="60" w:after="160"/>
        <w:jc w:val="center"/>
      </w:pPr>
      <w:r>
        <w:rPr>
          <w:i/>
          <w:iCs/>
          <w:color w:val="5A6474"/>
          <w:sz w:val="18"/>
          <w:szCs w:val="18"/>
        </w:rPr>
        <w:t>Figure 2 — Visualisation des quatre algorithmes sur la grille simple</w:t>
      </w:r>
    </w:p>
    <w:p w:rsidR="00B20A92" w:rsidRDefault="00B20A92">
      <w:pPr>
        <w:spacing w:before="60" w:after="60"/>
      </w:pPr>
    </w:p>
    <w:p w:rsidR="00B20A92" w:rsidRDefault="00181759">
      <w:pPr>
        <w:spacing w:before="80" w:after="100"/>
        <w:jc w:val="both"/>
      </w:pPr>
      <w:r>
        <w:t>Analyse : sur la grille simple, Greedy et A* pondéré obtiennent le même chemin optimal avec seulement 15 nœuds développés contre 53 pour UCS et A* standard. Sur le labyrinthe, A* et Greedy convergent tous les deux en 20 nœuds, l'heuristique étant particulièrement efficace dans un environnement contraint.</w:t>
      </w:r>
    </w:p>
    <w:p w:rsidR="00B20A92" w:rsidRDefault="00181759">
      <w:pPr>
        <w:pStyle w:val="Titre1"/>
        <w:pBdr>
          <w:bottom w:val="single" w:sz="8" w:space="6" w:color="C0392B"/>
        </w:pBdr>
      </w:pPr>
      <w:bookmarkStart w:id="13" w:name="_Toc223607434"/>
      <w:r>
        <w:lastRenderedPageBreak/>
        <w:t>5. Phase 3 — Construction de la chaîne de Markov</w:t>
      </w:r>
      <w:bookmarkEnd w:id="13"/>
    </w:p>
    <w:p w:rsidR="00B20A92" w:rsidRDefault="00181759">
      <w:pPr>
        <w:pStyle w:val="Titre2"/>
      </w:pPr>
      <w:bookmarkStart w:id="14" w:name="_Toc223607435"/>
      <w:r>
        <w:t>5.1 Politique induite par le chemin A*</w:t>
      </w:r>
      <w:bookmarkEnd w:id="14"/>
    </w:p>
    <w:p w:rsidR="00B20A92" w:rsidRDefault="00181759">
      <w:pPr>
        <w:spacing w:before="80" w:after="100"/>
        <w:jc w:val="both"/>
      </w:pPr>
      <w:r>
        <w:t>Le chemin planifié par A* définit une politique déterministe : π[s] = s' indique l'action recommandée à chaque état du chemin. Cette politique est ensuite perturbée par le paramètre ε pour obtenir les probabilités de transition réelles [3][5].</w:t>
      </w:r>
    </w:p>
    <w:p w:rsidR="00B20A92" w:rsidRDefault="00181759">
      <w:pPr>
        <w:pStyle w:val="Titre2"/>
      </w:pPr>
      <w:bookmarkStart w:id="15" w:name="_Toc223607436"/>
      <w:r>
        <w:t>5.2 Construction de P</w:t>
      </w:r>
      <w:bookmarkEnd w:id="15"/>
    </w:p>
    <w:p w:rsidR="00B20A92" w:rsidRDefault="00181759">
      <w:pPr>
        <w:spacing w:before="80" w:after="100"/>
        <w:jc w:val="both"/>
      </w:pPr>
      <w:r>
        <w:t>La matrice de transition P est construite sur les états accessibles (cellules du chemin + GOAL absorbant). Pour chaque cellule i avec action π(i) → j :</w:t>
      </w:r>
    </w:p>
    <w:p w:rsidR="00B20A92" w:rsidRDefault="00181759">
      <w:pPr>
        <w:pStyle w:val="Paragraphedeliste"/>
        <w:numPr>
          <w:ilvl w:val="0"/>
          <w:numId w:val="2"/>
        </w:numPr>
        <w:spacing w:before="60" w:after="60"/>
      </w:pPr>
      <w:r>
        <w:t>pᵢⱼ = 1 − ε (action principale réussie)</w:t>
      </w:r>
    </w:p>
    <w:p w:rsidR="00B20A92" w:rsidRDefault="00181759">
      <w:pPr>
        <w:pStyle w:val="Paragraphedeliste"/>
        <w:numPr>
          <w:ilvl w:val="0"/>
          <w:numId w:val="2"/>
        </w:numPr>
        <w:spacing w:before="60" w:after="60"/>
      </w:pPr>
      <w:r>
        <w:t>pᵢⱼ₁ = ε/2 et pᵢⱼ₂ = ε/2 (déviations latérales)</w:t>
      </w:r>
    </w:p>
    <w:p w:rsidR="00B20A92" w:rsidRDefault="00181759">
      <w:pPr>
        <w:pStyle w:val="Paragraphedeliste"/>
        <w:numPr>
          <w:ilvl w:val="0"/>
          <w:numId w:val="2"/>
        </w:numPr>
        <w:spacing w:before="60" w:after="60"/>
      </w:pPr>
      <w:r>
        <w:t>Si la cellule cible est un obstacle ou hors-grille, la masse est reportée sur pᵢᵢ (l'agent reste)</w:t>
      </w:r>
    </w:p>
    <w:p w:rsidR="00B20A92" w:rsidRDefault="00B20A92">
      <w:pPr>
        <w:spacing w:before="60" w:after="60"/>
      </w:pPr>
    </w:p>
    <w:p w:rsidR="00B20A92" w:rsidRDefault="00181759">
      <w:pPr>
        <w:spacing w:before="80" w:after="100"/>
        <w:jc w:val="both"/>
      </w:pPr>
      <w:r>
        <w:t>Vérification : chaque ligne de P somme à 1.0 (tolérance 10⁻⁹). Confirmé pour toutes les grilles.</w:t>
      </w:r>
    </w:p>
    <w:p w:rsidR="00B20A92" w:rsidRDefault="00B20A92">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000"/>
        <w:gridCol w:w="2160"/>
      </w:tblGrid>
      <w:tr w:rsidR="00B20A92">
        <w:trPr>
          <w:tblHeader/>
        </w:trPr>
        <w:tc>
          <w:tcPr>
            <w:tcW w:w="2400" w:type="dxa"/>
            <w:tcBorders>
              <w:top w:val="single" w:sz="4" w:space="0" w:color="F5B7B1"/>
              <w:left w:val="single" w:sz="4" w:space="0" w:color="F5B7B1"/>
              <w:bottom w:val="single" w:sz="4" w:space="0" w:color="F5B7B1"/>
              <w:right w:val="single" w:sz="4" w:space="0" w:color="F5B7B1"/>
            </w:tcBorders>
            <w:shd w:val="clear" w:color="auto" w:fill="8B0000"/>
            <w:tcMar>
              <w:top w:w="100" w:type="dxa"/>
              <w:left w:w="120" w:type="dxa"/>
              <w:bottom w:w="100" w:type="dxa"/>
              <w:right w:w="120" w:type="dxa"/>
            </w:tcMar>
            <w:vAlign w:val="center"/>
          </w:tcPr>
          <w:p w:rsidR="00B20A92" w:rsidRDefault="00181759">
            <w:pPr>
              <w:jc w:val="center"/>
            </w:pPr>
            <w:r>
              <w:rPr>
                <w:b/>
                <w:bCs/>
                <w:color w:val="FFFFFF"/>
                <w:sz w:val="20"/>
                <w:szCs w:val="20"/>
              </w:rPr>
              <w:t>Grille</w:t>
            </w:r>
          </w:p>
        </w:tc>
        <w:tc>
          <w:tcPr>
            <w:tcW w:w="1800" w:type="dxa"/>
            <w:tcBorders>
              <w:top w:val="single" w:sz="4" w:space="0" w:color="F5B7B1"/>
              <w:left w:val="single" w:sz="4" w:space="0" w:color="F5B7B1"/>
              <w:bottom w:val="single" w:sz="4" w:space="0" w:color="F5B7B1"/>
              <w:right w:val="single" w:sz="4" w:space="0" w:color="F5B7B1"/>
            </w:tcBorders>
            <w:shd w:val="clear" w:color="auto" w:fill="8B0000"/>
            <w:tcMar>
              <w:top w:w="100" w:type="dxa"/>
              <w:left w:w="120" w:type="dxa"/>
              <w:bottom w:w="100" w:type="dxa"/>
              <w:right w:w="120" w:type="dxa"/>
            </w:tcMar>
            <w:vAlign w:val="center"/>
          </w:tcPr>
          <w:p w:rsidR="00B20A92" w:rsidRDefault="00181759">
            <w:pPr>
              <w:jc w:val="center"/>
            </w:pPr>
            <w:r>
              <w:rPr>
                <w:b/>
                <w:bCs/>
                <w:color w:val="FFFFFF"/>
                <w:sz w:val="20"/>
                <w:szCs w:val="20"/>
              </w:rPr>
              <w:t>Taille P</w:t>
            </w:r>
          </w:p>
        </w:tc>
        <w:tc>
          <w:tcPr>
            <w:tcW w:w="2000" w:type="dxa"/>
            <w:tcBorders>
              <w:top w:val="single" w:sz="4" w:space="0" w:color="F5B7B1"/>
              <w:left w:val="single" w:sz="4" w:space="0" w:color="F5B7B1"/>
              <w:bottom w:val="single" w:sz="4" w:space="0" w:color="F5B7B1"/>
              <w:right w:val="single" w:sz="4" w:space="0" w:color="F5B7B1"/>
            </w:tcBorders>
            <w:shd w:val="clear" w:color="auto" w:fill="8B0000"/>
            <w:tcMar>
              <w:top w:w="100" w:type="dxa"/>
              <w:left w:w="120" w:type="dxa"/>
              <w:bottom w:w="100" w:type="dxa"/>
              <w:right w:w="120" w:type="dxa"/>
            </w:tcMar>
            <w:vAlign w:val="center"/>
          </w:tcPr>
          <w:p w:rsidR="00B20A92" w:rsidRDefault="00181759">
            <w:pPr>
              <w:jc w:val="center"/>
            </w:pPr>
            <w:r>
              <w:rPr>
                <w:b/>
                <w:bCs/>
                <w:color w:val="FFFFFF"/>
                <w:sz w:val="20"/>
                <w:szCs w:val="20"/>
              </w:rPr>
              <w:t>P stochastique</w:t>
            </w:r>
          </w:p>
        </w:tc>
        <w:tc>
          <w:tcPr>
            <w:tcW w:w="2160" w:type="dxa"/>
            <w:tcBorders>
              <w:top w:val="single" w:sz="4" w:space="0" w:color="F5B7B1"/>
              <w:left w:val="single" w:sz="4" w:space="0" w:color="F5B7B1"/>
              <w:bottom w:val="single" w:sz="4" w:space="0" w:color="F5B7B1"/>
              <w:right w:val="single" w:sz="4" w:space="0" w:color="F5B7B1"/>
            </w:tcBorders>
            <w:shd w:val="clear" w:color="auto" w:fill="8B0000"/>
            <w:tcMar>
              <w:top w:w="100" w:type="dxa"/>
              <w:left w:w="120" w:type="dxa"/>
              <w:bottom w:w="100" w:type="dxa"/>
              <w:right w:w="120" w:type="dxa"/>
            </w:tcMar>
            <w:vAlign w:val="center"/>
          </w:tcPr>
          <w:p w:rsidR="00B20A92" w:rsidRDefault="00181759">
            <w:pPr>
              <w:jc w:val="center"/>
            </w:pPr>
            <w:r>
              <w:rPr>
                <w:b/>
                <w:bCs/>
                <w:color w:val="FFFFFF"/>
                <w:sz w:val="20"/>
                <w:szCs w:val="20"/>
              </w:rPr>
              <w:t>GOAL absorbant</w:t>
            </w:r>
          </w:p>
        </w:tc>
      </w:tr>
      <w:tr w:rsidR="00B20A92">
        <w:tc>
          <w:tcPr>
            <w:tcW w:w="24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Simple</w:t>
            </w:r>
          </w:p>
        </w:tc>
        <w:tc>
          <w:tcPr>
            <w:tcW w:w="18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15×15</w:t>
            </w:r>
          </w:p>
        </w:tc>
        <w:tc>
          <w:tcPr>
            <w:tcW w:w="20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Oui</w:t>
            </w:r>
          </w:p>
        </w:tc>
        <w:tc>
          <w:tcPr>
            <w:tcW w:w="216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Oui (pGOAL,GOAL = 1)</w:t>
            </w:r>
          </w:p>
        </w:tc>
      </w:tr>
      <w:tr w:rsidR="00B20A92">
        <w:tc>
          <w:tcPr>
            <w:tcW w:w="24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Labyrinthe</w:t>
            </w:r>
          </w:p>
        </w:tc>
        <w:tc>
          <w:tcPr>
            <w:tcW w:w="18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19×19</w:t>
            </w:r>
          </w:p>
        </w:tc>
        <w:tc>
          <w:tcPr>
            <w:tcW w:w="20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Oui</w:t>
            </w:r>
          </w:p>
        </w:tc>
        <w:tc>
          <w:tcPr>
            <w:tcW w:w="216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Oui</w:t>
            </w:r>
          </w:p>
        </w:tc>
      </w:tr>
    </w:tbl>
    <w:p w:rsidR="00B20A92" w:rsidRDefault="00181759">
      <w:pPr>
        <w:spacing w:before="60" w:after="160"/>
        <w:jc w:val="center"/>
      </w:pPr>
      <w:r>
        <w:rPr>
          <w:i/>
          <w:iCs/>
          <w:color w:val="5A6474"/>
          <w:sz w:val="18"/>
          <w:szCs w:val="18"/>
        </w:rPr>
        <w:t>Tableau 3 — Propriétés de la matrice P construite</w:t>
      </w:r>
    </w:p>
    <w:p w:rsidR="00B20A92" w:rsidRDefault="00181759">
      <w:pPr>
        <w:pStyle w:val="Titre2"/>
      </w:pPr>
      <w:bookmarkStart w:id="16" w:name="_Toc223607437"/>
      <w:r>
        <w:t>5.3 Distribution πⁿ = π⁰ · Pⁿ</w:t>
      </w:r>
      <w:bookmarkEnd w:id="16"/>
    </w:p>
    <w:p w:rsidR="00B20A92" w:rsidRDefault="00181759">
      <w:pPr>
        <w:spacing w:before="80" w:after="100"/>
        <w:jc w:val="both"/>
      </w:pPr>
      <w:r>
        <w:t>En partant de la distribution initiale π⁰ = (1, 0, ..., 0) (certitude de démarrer en s₀), on calcule la distribution πⁿ à chaque pas par produit matriciel itéré. La composante GOAL de πⁿ converge vers 1 selon une courbe en S.</w:t>
      </w:r>
    </w:p>
    <w:p w:rsidR="00B20A92" w:rsidRDefault="00181759">
      <w:pPr>
        <w:pStyle w:val="Titre1"/>
        <w:pBdr>
          <w:bottom w:val="single" w:sz="8" w:space="6" w:color="C0392B"/>
        </w:pBdr>
      </w:pPr>
      <w:bookmarkStart w:id="17" w:name="_Toc223607438"/>
      <w:r>
        <w:t>6. Phase 4 — Analyse de la chaîne de Markov</w:t>
      </w:r>
      <w:bookmarkEnd w:id="17"/>
    </w:p>
    <w:p w:rsidR="00B20A92" w:rsidRDefault="00181759">
      <w:pPr>
        <w:pStyle w:val="Titre2"/>
      </w:pPr>
      <w:bookmarkStart w:id="18" w:name="_Toc223607439"/>
      <w:r>
        <w:t>6.1 Classes de communication</w:t>
      </w:r>
      <w:bookmarkEnd w:id="18"/>
    </w:p>
    <w:p w:rsidR="00B20A92" w:rsidRDefault="00181759">
      <w:pPr>
        <w:spacing w:before="80" w:after="100"/>
        <w:jc w:val="both"/>
      </w:pPr>
      <w:r>
        <w:t>Le graphe orienté des transitions (arc i → j si pᵢⱼ &gt; 0) est analysé par l'algorithme de Kosaraju (double DFS) pour identifier les composantes fortement connexes (SCC) [10]. Résultats :</w:t>
      </w:r>
    </w:p>
    <w:p w:rsidR="00B20A92" w:rsidRDefault="00B20A92">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200"/>
        <w:gridCol w:w="2000"/>
        <w:gridCol w:w="2000"/>
        <w:gridCol w:w="1060"/>
      </w:tblGrid>
      <w:tr w:rsidR="00B20A92">
        <w:trPr>
          <w:tblHeader/>
        </w:trPr>
        <w:tc>
          <w:tcPr>
            <w:tcW w:w="2100" w:type="dxa"/>
            <w:tcBorders>
              <w:top w:val="single" w:sz="4" w:space="0" w:color="F5B7B1"/>
              <w:left w:val="single" w:sz="4" w:space="0" w:color="F5B7B1"/>
              <w:bottom w:val="single" w:sz="4" w:space="0" w:color="F5B7B1"/>
              <w:right w:val="single" w:sz="4" w:space="0" w:color="F5B7B1"/>
            </w:tcBorders>
            <w:shd w:val="clear" w:color="auto" w:fill="8B0000"/>
            <w:tcMar>
              <w:top w:w="100" w:type="dxa"/>
              <w:left w:w="120" w:type="dxa"/>
              <w:bottom w:w="100" w:type="dxa"/>
              <w:right w:w="120" w:type="dxa"/>
            </w:tcMar>
            <w:vAlign w:val="center"/>
          </w:tcPr>
          <w:p w:rsidR="00B20A92" w:rsidRDefault="00181759">
            <w:pPr>
              <w:jc w:val="center"/>
            </w:pPr>
            <w:r>
              <w:rPr>
                <w:b/>
                <w:bCs/>
                <w:color w:val="FFFFFF"/>
                <w:sz w:val="20"/>
                <w:szCs w:val="20"/>
              </w:rPr>
              <w:t>Grille</w:t>
            </w:r>
          </w:p>
        </w:tc>
        <w:tc>
          <w:tcPr>
            <w:tcW w:w="1200" w:type="dxa"/>
            <w:tcBorders>
              <w:top w:val="single" w:sz="4" w:space="0" w:color="F5B7B1"/>
              <w:left w:val="single" w:sz="4" w:space="0" w:color="F5B7B1"/>
              <w:bottom w:val="single" w:sz="4" w:space="0" w:color="F5B7B1"/>
              <w:right w:val="single" w:sz="4" w:space="0" w:color="F5B7B1"/>
            </w:tcBorders>
            <w:shd w:val="clear" w:color="auto" w:fill="8B0000"/>
            <w:tcMar>
              <w:top w:w="100" w:type="dxa"/>
              <w:left w:w="120" w:type="dxa"/>
              <w:bottom w:w="100" w:type="dxa"/>
              <w:right w:w="120" w:type="dxa"/>
            </w:tcMar>
            <w:vAlign w:val="center"/>
          </w:tcPr>
          <w:p w:rsidR="00B20A92" w:rsidRDefault="00181759">
            <w:pPr>
              <w:jc w:val="center"/>
            </w:pPr>
            <w:r>
              <w:rPr>
                <w:b/>
                <w:bCs/>
                <w:color w:val="FFFFFF"/>
                <w:sz w:val="20"/>
                <w:szCs w:val="20"/>
              </w:rPr>
              <w:t>Nb SCC</w:t>
            </w:r>
          </w:p>
        </w:tc>
        <w:tc>
          <w:tcPr>
            <w:tcW w:w="2000" w:type="dxa"/>
            <w:tcBorders>
              <w:top w:val="single" w:sz="4" w:space="0" w:color="F5B7B1"/>
              <w:left w:val="single" w:sz="4" w:space="0" w:color="F5B7B1"/>
              <w:bottom w:val="single" w:sz="4" w:space="0" w:color="F5B7B1"/>
              <w:right w:val="single" w:sz="4" w:space="0" w:color="F5B7B1"/>
            </w:tcBorders>
            <w:shd w:val="clear" w:color="auto" w:fill="8B0000"/>
            <w:tcMar>
              <w:top w:w="100" w:type="dxa"/>
              <w:left w:w="120" w:type="dxa"/>
              <w:bottom w:w="100" w:type="dxa"/>
              <w:right w:w="120" w:type="dxa"/>
            </w:tcMar>
            <w:vAlign w:val="center"/>
          </w:tcPr>
          <w:p w:rsidR="00B20A92" w:rsidRDefault="00181759">
            <w:pPr>
              <w:jc w:val="center"/>
            </w:pPr>
            <w:r>
              <w:rPr>
                <w:b/>
                <w:bCs/>
                <w:color w:val="FFFFFF"/>
                <w:sz w:val="20"/>
                <w:szCs w:val="20"/>
              </w:rPr>
              <w:t>États récurrents</w:t>
            </w:r>
          </w:p>
        </w:tc>
        <w:tc>
          <w:tcPr>
            <w:tcW w:w="2000" w:type="dxa"/>
            <w:tcBorders>
              <w:top w:val="single" w:sz="4" w:space="0" w:color="F5B7B1"/>
              <w:left w:val="single" w:sz="4" w:space="0" w:color="F5B7B1"/>
              <w:bottom w:val="single" w:sz="4" w:space="0" w:color="F5B7B1"/>
              <w:right w:val="single" w:sz="4" w:space="0" w:color="F5B7B1"/>
            </w:tcBorders>
            <w:shd w:val="clear" w:color="auto" w:fill="8B0000"/>
            <w:tcMar>
              <w:top w:w="100" w:type="dxa"/>
              <w:left w:w="120" w:type="dxa"/>
              <w:bottom w:w="100" w:type="dxa"/>
              <w:right w:w="120" w:type="dxa"/>
            </w:tcMar>
            <w:vAlign w:val="center"/>
          </w:tcPr>
          <w:p w:rsidR="00B20A92" w:rsidRDefault="00181759">
            <w:pPr>
              <w:jc w:val="center"/>
            </w:pPr>
            <w:r>
              <w:rPr>
                <w:b/>
                <w:bCs/>
                <w:color w:val="FFFFFF"/>
                <w:sz w:val="20"/>
                <w:szCs w:val="20"/>
              </w:rPr>
              <w:t>États transitoires</w:t>
            </w:r>
          </w:p>
        </w:tc>
        <w:tc>
          <w:tcPr>
            <w:tcW w:w="1060" w:type="dxa"/>
            <w:tcBorders>
              <w:top w:val="single" w:sz="4" w:space="0" w:color="F5B7B1"/>
              <w:left w:val="single" w:sz="4" w:space="0" w:color="F5B7B1"/>
              <w:bottom w:val="single" w:sz="4" w:space="0" w:color="F5B7B1"/>
              <w:right w:val="single" w:sz="4" w:space="0" w:color="F5B7B1"/>
            </w:tcBorders>
            <w:shd w:val="clear" w:color="auto" w:fill="8B0000"/>
            <w:tcMar>
              <w:top w:w="100" w:type="dxa"/>
              <w:left w:w="120" w:type="dxa"/>
              <w:bottom w:w="100" w:type="dxa"/>
              <w:right w:w="120" w:type="dxa"/>
            </w:tcMar>
            <w:vAlign w:val="center"/>
          </w:tcPr>
          <w:p w:rsidR="00B20A92" w:rsidRDefault="00181759">
            <w:pPr>
              <w:jc w:val="center"/>
            </w:pPr>
            <w:r>
              <w:rPr>
                <w:b/>
                <w:bCs/>
                <w:color w:val="FFFFFF"/>
                <w:sz w:val="20"/>
                <w:szCs w:val="20"/>
              </w:rPr>
              <w:t>ε</w:t>
            </w:r>
          </w:p>
        </w:tc>
      </w:tr>
      <w:tr w:rsidR="00B20A92">
        <w:tc>
          <w:tcPr>
            <w:tcW w:w="21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Simple</w:t>
            </w:r>
          </w:p>
        </w:tc>
        <w:tc>
          <w:tcPr>
            <w:tcW w:w="12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14</w:t>
            </w:r>
          </w:p>
        </w:tc>
        <w:tc>
          <w:tcPr>
            <w:tcW w:w="20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1 (GOAL)</w:t>
            </w:r>
          </w:p>
        </w:tc>
        <w:tc>
          <w:tcPr>
            <w:tcW w:w="20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14</w:t>
            </w:r>
          </w:p>
        </w:tc>
        <w:tc>
          <w:tcPr>
            <w:tcW w:w="106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0.10</w:t>
            </w:r>
          </w:p>
        </w:tc>
      </w:tr>
      <w:tr w:rsidR="00B20A92">
        <w:tc>
          <w:tcPr>
            <w:tcW w:w="21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Labyrinthe</w:t>
            </w:r>
          </w:p>
        </w:tc>
        <w:tc>
          <w:tcPr>
            <w:tcW w:w="12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14</w:t>
            </w:r>
          </w:p>
        </w:tc>
        <w:tc>
          <w:tcPr>
            <w:tcW w:w="20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1 (GOAL)</w:t>
            </w:r>
          </w:p>
        </w:tc>
        <w:tc>
          <w:tcPr>
            <w:tcW w:w="20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18</w:t>
            </w:r>
          </w:p>
        </w:tc>
        <w:tc>
          <w:tcPr>
            <w:tcW w:w="106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0.10</w:t>
            </w:r>
          </w:p>
        </w:tc>
      </w:tr>
    </w:tbl>
    <w:p w:rsidR="00B20A92" w:rsidRDefault="00181759">
      <w:pPr>
        <w:spacing w:before="60" w:after="160"/>
        <w:jc w:val="center"/>
      </w:pPr>
      <w:r>
        <w:rPr>
          <w:i/>
          <w:iCs/>
          <w:color w:val="5A6474"/>
          <w:sz w:val="18"/>
          <w:szCs w:val="18"/>
        </w:rPr>
        <w:t>Tableau 4 — Analyse des classes de communication</w:t>
      </w:r>
    </w:p>
    <w:p w:rsidR="00B20A92" w:rsidRDefault="00B20A92">
      <w:pPr>
        <w:spacing w:before="60" w:after="60"/>
      </w:pPr>
    </w:p>
    <w:p w:rsidR="00B20A92" w:rsidRDefault="00181759">
      <w:pPr>
        <w:spacing w:before="80" w:after="100"/>
        <w:jc w:val="both"/>
      </w:pPr>
      <w:r>
        <w:t>Interprétation : la structure est typique d'une chaîne absorbante. Chaque cellule du chemin constitue sa propre classe transitoire (SCC singleton). GOAL est la seule classe récurrente (absorbante) [3][4].</w:t>
      </w:r>
    </w:p>
    <w:p w:rsidR="00B20A92" w:rsidRDefault="00181759">
      <w:pPr>
        <w:pStyle w:val="Titre2"/>
      </w:pPr>
      <w:bookmarkStart w:id="19" w:name="_Toc223607440"/>
      <w:r>
        <w:t>6.2 Analyse d'absorption</w:t>
      </w:r>
      <w:bookmarkEnd w:id="19"/>
    </w:p>
    <w:p w:rsidR="00B20A92" w:rsidRDefault="00181759">
      <w:pPr>
        <w:spacing w:before="80" w:after="100"/>
        <w:jc w:val="both"/>
      </w:pPr>
      <w:r>
        <w:t>La décomposition P = [[I, 0], [R, Q]] permet de calculer la matrice fondamentale N = (I−Q)⁻¹ et les résultats d'absorption [4][8] :</w:t>
      </w:r>
    </w:p>
    <w:p w:rsidR="00B20A92" w:rsidRDefault="00B20A92">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200"/>
        <w:gridCol w:w="1960"/>
      </w:tblGrid>
      <w:tr w:rsidR="00B20A92">
        <w:trPr>
          <w:tblHeader/>
        </w:trPr>
        <w:tc>
          <w:tcPr>
            <w:tcW w:w="2400" w:type="dxa"/>
            <w:tcBorders>
              <w:top w:val="single" w:sz="4" w:space="0" w:color="F5B7B1"/>
              <w:left w:val="single" w:sz="4" w:space="0" w:color="F5B7B1"/>
              <w:bottom w:val="single" w:sz="4" w:space="0" w:color="F5B7B1"/>
              <w:right w:val="single" w:sz="4" w:space="0" w:color="F5B7B1"/>
            </w:tcBorders>
            <w:shd w:val="clear" w:color="auto" w:fill="8B0000"/>
            <w:tcMar>
              <w:top w:w="100" w:type="dxa"/>
              <w:left w:w="120" w:type="dxa"/>
              <w:bottom w:w="100" w:type="dxa"/>
              <w:right w:w="120" w:type="dxa"/>
            </w:tcMar>
            <w:vAlign w:val="center"/>
          </w:tcPr>
          <w:p w:rsidR="00B20A92" w:rsidRDefault="00181759">
            <w:pPr>
              <w:jc w:val="center"/>
            </w:pPr>
            <w:r>
              <w:rPr>
                <w:b/>
                <w:bCs/>
                <w:color w:val="FFFFFF"/>
                <w:sz w:val="20"/>
                <w:szCs w:val="20"/>
              </w:rPr>
              <w:lastRenderedPageBreak/>
              <w:t>Grille</w:t>
            </w:r>
          </w:p>
        </w:tc>
        <w:tc>
          <w:tcPr>
            <w:tcW w:w="1800" w:type="dxa"/>
            <w:tcBorders>
              <w:top w:val="single" w:sz="4" w:space="0" w:color="F5B7B1"/>
              <w:left w:val="single" w:sz="4" w:space="0" w:color="F5B7B1"/>
              <w:bottom w:val="single" w:sz="4" w:space="0" w:color="F5B7B1"/>
              <w:right w:val="single" w:sz="4" w:space="0" w:color="F5B7B1"/>
            </w:tcBorders>
            <w:shd w:val="clear" w:color="auto" w:fill="8B0000"/>
            <w:tcMar>
              <w:top w:w="100" w:type="dxa"/>
              <w:left w:w="120" w:type="dxa"/>
              <w:bottom w:w="100" w:type="dxa"/>
              <w:right w:w="120" w:type="dxa"/>
            </w:tcMar>
            <w:vAlign w:val="center"/>
          </w:tcPr>
          <w:p w:rsidR="00B20A92" w:rsidRDefault="00181759">
            <w:pPr>
              <w:jc w:val="center"/>
            </w:pPr>
            <w:r>
              <w:rPr>
                <w:b/>
                <w:bCs/>
                <w:color w:val="FFFFFF"/>
                <w:sz w:val="20"/>
                <w:szCs w:val="20"/>
              </w:rPr>
              <w:t>P(GOAL | s₀)</w:t>
            </w:r>
          </w:p>
        </w:tc>
        <w:tc>
          <w:tcPr>
            <w:tcW w:w="2200" w:type="dxa"/>
            <w:tcBorders>
              <w:top w:val="single" w:sz="4" w:space="0" w:color="F5B7B1"/>
              <w:left w:val="single" w:sz="4" w:space="0" w:color="F5B7B1"/>
              <w:bottom w:val="single" w:sz="4" w:space="0" w:color="F5B7B1"/>
              <w:right w:val="single" w:sz="4" w:space="0" w:color="F5B7B1"/>
            </w:tcBorders>
            <w:shd w:val="clear" w:color="auto" w:fill="8B0000"/>
            <w:tcMar>
              <w:top w:w="100" w:type="dxa"/>
              <w:left w:w="120" w:type="dxa"/>
              <w:bottom w:w="100" w:type="dxa"/>
              <w:right w:w="120" w:type="dxa"/>
            </w:tcMar>
            <w:vAlign w:val="center"/>
          </w:tcPr>
          <w:p w:rsidR="00B20A92" w:rsidRDefault="00181759">
            <w:pPr>
              <w:jc w:val="center"/>
            </w:pPr>
            <w:r>
              <w:rPr>
                <w:b/>
                <w:bCs/>
                <w:color w:val="FFFFFF"/>
                <w:sz w:val="20"/>
                <w:szCs w:val="20"/>
              </w:rPr>
              <w:t>E[T | s₀] (théo.)</w:t>
            </w:r>
          </w:p>
        </w:tc>
        <w:tc>
          <w:tcPr>
            <w:tcW w:w="1960" w:type="dxa"/>
            <w:tcBorders>
              <w:top w:val="single" w:sz="4" w:space="0" w:color="F5B7B1"/>
              <w:left w:val="single" w:sz="4" w:space="0" w:color="F5B7B1"/>
              <w:bottom w:val="single" w:sz="4" w:space="0" w:color="F5B7B1"/>
              <w:right w:val="single" w:sz="4" w:space="0" w:color="F5B7B1"/>
            </w:tcBorders>
            <w:shd w:val="clear" w:color="auto" w:fill="8B0000"/>
            <w:tcMar>
              <w:top w:w="100" w:type="dxa"/>
              <w:left w:w="120" w:type="dxa"/>
              <w:bottom w:w="100" w:type="dxa"/>
              <w:right w:w="120" w:type="dxa"/>
            </w:tcMar>
            <w:vAlign w:val="center"/>
          </w:tcPr>
          <w:p w:rsidR="00B20A92" w:rsidRDefault="00181759">
            <w:pPr>
              <w:jc w:val="center"/>
            </w:pPr>
            <w:r>
              <w:rPr>
                <w:b/>
                <w:bCs/>
                <w:color w:val="FFFFFF"/>
                <w:sz w:val="20"/>
                <w:szCs w:val="20"/>
              </w:rPr>
              <w:t>E[T | s₀] (MC)</w:t>
            </w:r>
          </w:p>
        </w:tc>
      </w:tr>
      <w:tr w:rsidR="00B20A92">
        <w:tc>
          <w:tcPr>
            <w:tcW w:w="24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Simple (ε=0.10)</w:t>
            </w:r>
          </w:p>
        </w:tc>
        <w:tc>
          <w:tcPr>
            <w:tcW w:w="18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1.0000</w:t>
            </w:r>
          </w:p>
        </w:tc>
        <w:tc>
          <w:tcPr>
            <w:tcW w:w="220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15.62 pas</w:t>
            </w:r>
          </w:p>
        </w:tc>
        <w:tc>
          <w:tcPr>
            <w:tcW w:w="1960" w:type="dxa"/>
            <w:tcBorders>
              <w:top w:val="single" w:sz="4" w:space="0" w:color="F5B7B1"/>
              <w:left w:val="single" w:sz="4" w:space="0" w:color="F5B7B1"/>
              <w:bottom w:val="single" w:sz="4" w:space="0" w:color="F5B7B1"/>
              <w:right w:val="single" w:sz="4" w:space="0" w:color="F5B7B1"/>
            </w:tcBorders>
            <w:shd w:val="clear" w:color="auto" w:fill="FFFFFF"/>
            <w:tcMar>
              <w:top w:w="80" w:type="dxa"/>
              <w:left w:w="120" w:type="dxa"/>
              <w:bottom w:w="80" w:type="dxa"/>
              <w:right w:w="120" w:type="dxa"/>
            </w:tcMar>
            <w:vAlign w:val="center"/>
          </w:tcPr>
          <w:p w:rsidR="00B20A92" w:rsidRDefault="00181759">
            <w:pPr>
              <w:jc w:val="center"/>
            </w:pPr>
            <w:r>
              <w:rPr>
                <w:sz w:val="20"/>
                <w:szCs w:val="20"/>
              </w:rPr>
              <w:t>15.59 pas</w:t>
            </w:r>
          </w:p>
        </w:tc>
      </w:tr>
      <w:tr w:rsidR="00B20A92">
        <w:tc>
          <w:tcPr>
            <w:tcW w:w="24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Labyrinthe (ε=0.10)</w:t>
            </w:r>
          </w:p>
        </w:tc>
        <w:tc>
          <w:tcPr>
            <w:tcW w:w="18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1.0000</w:t>
            </w:r>
          </w:p>
        </w:tc>
        <w:tc>
          <w:tcPr>
            <w:tcW w:w="220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20.31 pas</w:t>
            </w:r>
          </w:p>
        </w:tc>
        <w:tc>
          <w:tcPr>
            <w:tcW w:w="1960" w:type="dxa"/>
            <w:tcBorders>
              <w:top w:val="single" w:sz="4" w:space="0" w:color="F5B7B1"/>
              <w:left w:val="single" w:sz="4" w:space="0" w:color="F5B7B1"/>
              <w:bottom w:val="single" w:sz="4" w:space="0" w:color="F5B7B1"/>
              <w:right w:val="single" w:sz="4" w:space="0" w:color="F5B7B1"/>
            </w:tcBorders>
            <w:shd w:val="clear" w:color="auto" w:fill="FDF2F2"/>
            <w:tcMar>
              <w:top w:w="80" w:type="dxa"/>
              <w:left w:w="120" w:type="dxa"/>
              <w:bottom w:w="80" w:type="dxa"/>
              <w:right w:w="120" w:type="dxa"/>
            </w:tcMar>
            <w:vAlign w:val="center"/>
          </w:tcPr>
          <w:p w:rsidR="00B20A92" w:rsidRDefault="00181759">
            <w:pPr>
              <w:jc w:val="center"/>
            </w:pPr>
            <w:r>
              <w:rPr>
                <w:sz w:val="20"/>
                <w:szCs w:val="20"/>
              </w:rPr>
              <w:t>20.28 pas</w:t>
            </w:r>
          </w:p>
        </w:tc>
      </w:tr>
    </w:tbl>
    <w:p w:rsidR="00B20A92" w:rsidRDefault="00181759">
      <w:pPr>
        <w:spacing w:before="60" w:after="160"/>
        <w:jc w:val="center"/>
      </w:pPr>
      <w:r>
        <w:rPr>
          <w:i/>
          <w:iCs/>
          <w:color w:val="5A6474"/>
          <w:sz w:val="18"/>
          <w:szCs w:val="18"/>
        </w:rPr>
        <w:t>Tableau 5 — Probabilités et temps moyens d'absorption (théorique vs Monte-Carlo)</w:t>
      </w:r>
    </w:p>
    <w:p w:rsidR="00B20A92" w:rsidRDefault="00B20A92">
      <w:pPr>
        <w:spacing w:before="60" w:after="60"/>
      </w:pPr>
    </w:p>
    <w:p w:rsidR="00B20A92" w:rsidRDefault="00181759">
      <w:pPr>
        <w:spacing w:before="80" w:after="100"/>
        <w:jc w:val="both"/>
      </w:pPr>
      <w:r>
        <w:t>La concordance entre calcul matriciel et simulation (erreur &lt; 0.2%) valide la correction du modèle. La probabilité d'atteindre GOAL est 1 pour les deux grilles à ε=0.10.</w:t>
      </w:r>
    </w:p>
    <w:p w:rsidR="00B20A92" w:rsidRDefault="00181759">
      <w:pPr>
        <w:pStyle w:val="Titre2"/>
      </w:pPr>
      <w:bookmarkStart w:id="20" w:name="_Toc223607441"/>
      <w:r>
        <w:t>6.3 Discussion sur la périodicité</w:t>
      </w:r>
      <w:bookmarkEnd w:id="20"/>
    </w:p>
    <w:p w:rsidR="00B20A92" w:rsidRDefault="00181759">
      <w:pPr>
        <w:spacing w:before="80" w:after="100"/>
        <w:jc w:val="both"/>
      </w:pPr>
      <w:r>
        <w:t>Les états transitoires sont apériodiques car la possibilité de rester sur place (pᵢᵢ &gt; 0 quand ε &gt; 0) implique une période égale à 1. Pour ε = 0 (déterministe), la chaîne est périodique de période égale à la longueur du chemin [4].</w:t>
      </w:r>
    </w:p>
    <w:p w:rsidR="00B20A92" w:rsidRDefault="00181759">
      <w:pPr>
        <w:pStyle w:val="Titre1"/>
        <w:pBdr>
          <w:bottom w:val="single" w:sz="8" w:space="6" w:color="C0392B"/>
        </w:pBdr>
      </w:pPr>
      <w:bookmarkStart w:id="21" w:name="_Toc223607442"/>
      <w:r>
        <w:t>7. Phase 5 — Simulation Monte-Carlo et validation</w:t>
      </w:r>
      <w:bookmarkEnd w:id="21"/>
    </w:p>
    <w:p w:rsidR="00B20A92" w:rsidRDefault="00181759">
      <w:pPr>
        <w:pStyle w:val="Titre2"/>
      </w:pPr>
      <w:bookmarkStart w:id="22" w:name="_Toc223607443"/>
      <w:r>
        <w:t>7.1 Protocole de simulation</w:t>
      </w:r>
      <w:bookmarkEnd w:id="22"/>
    </w:p>
    <w:p w:rsidR="00B20A92" w:rsidRDefault="00181759">
      <w:pPr>
        <w:spacing w:before="80" w:after="100"/>
        <w:jc w:val="both"/>
      </w:pPr>
      <w:r>
        <w:t>Pour chaque niveau d'incertitude ε, on simule N = 3000 trajectoires depuis s₀ avec un horizon Tmax = 300 pas [6]. À chaque pas, l'état suivant est échantillonné selon la distribution cumulatée (CDF) de la ligne courante de P (méthode de la CDF inverse). On mesure : P(GOAL), distribution de T_atteinte, E[T|GOAL] et taux de timeout.</w:t>
      </w:r>
    </w:p>
    <w:p w:rsidR="00B20A92" w:rsidRDefault="00181759">
      <w:pPr>
        <w:pStyle w:val="Titre2"/>
      </w:pPr>
      <w:bookmarkStart w:id="23" w:name="_Toc223607444"/>
      <w:r>
        <w:t>7.2 Impact de ε sur la robustesse</w:t>
      </w:r>
      <w:bookmarkEnd w:id="23"/>
    </w:p>
    <w:p w:rsidR="00B20A92" w:rsidRDefault="00181759">
      <w:pPr>
        <w:spacing w:before="120" w:after="60"/>
        <w:jc w:val="center"/>
      </w:pPr>
      <w:r>
        <w:rPr>
          <w:noProof/>
        </w:rPr>
        <w:drawing>
          <wp:inline distT="0" distB="0" distL="0" distR="0">
            <wp:extent cx="5400000" cy="168484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00000" cy="1684845"/>
                    </a:xfrm>
                    <a:prstGeom prst="rect">
                      <a:avLst/>
                    </a:prstGeom>
                  </pic:spPr>
                </pic:pic>
              </a:graphicData>
            </a:graphic>
          </wp:inline>
        </w:drawing>
      </w:r>
    </w:p>
    <w:p w:rsidR="00B20A92" w:rsidRDefault="00181759">
      <w:pPr>
        <w:spacing w:before="60" w:after="160"/>
        <w:jc w:val="center"/>
      </w:pPr>
      <w:r>
        <w:rPr>
          <w:i/>
          <w:iCs/>
          <w:color w:val="5A6474"/>
          <w:sz w:val="18"/>
          <w:szCs w:val="18"/>
        </w:rPr>
        <w:t>Figure 3 — Impact de ε sur P(GOAL) et E[T|GOAL] (grille simple, N=2000 simulations)</w:t>
      </w:r>
    </w:p>
    <w:p w:rsidR="00B20A92" w:rsidRDefault="00B20A92">
      <w:pPr>
        <w:spacing w:before="60" w:after="60"/>
      </w:pP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0"/>
        <w:gridCol w:w="1100"/>
        <w:gridCol w:w="1100"/>
        <w:gridCol w:w="1200"/>
        <w:gridCol w:w="1200"/>
        <w:gridCol w:w="1400"/>
      </w:tblGrid>
      <w:tr>
        <w:tc>
          <w:tcPr>
            <w:tcW w:w="900" w:type="dxa"/>
            <w:shd w:val="clear" w:fill="2E75B6"/>
          </w:tcPr>
          <w:p>
            <w:r>
              <w:rPr>
                <w:b/>
                <w:color w:val="FFFFFF"/>
                <w:sz w:val="18"/>
              </w:rPr>
              <w:t>ε</w:t>
            </w:r>
          </w:p>
        </w:tc>
        <w:tc>
          <w:tcPr>
            <w:tcW w:w="1100" w:type="dxa"/>
            <w:shd w:val="clear" w:fill="2E75B6"/>
          </w:tcPr>
          <w:p>
            <w:r>
              <w:rPr>
                <w:b/>
                <w:color w:val="FFFFFF"/>
                <w:sz w:val="18"/>
              </w:rPr>
              <w:t>Coût A*</w:t>
            </w:r>
          </w:p>
        </w:tc>
        <w:tc>
          <w:tcPr>
            <w:tcW w:w="1100" w:type="dxa"/>
            <w:shd w:val="clear" w:fill="2E75B6"/>
          </w:tcPr>
          <w:p>
            <w:r>
              <w:rPr>
                <w:b/>
                <w:color w:val="FFFFFF"/>
                <w:sz w:val="18"/>
              </w:rPr>
              <w:t>P(GOAL)</w:t>
            </w:r>
          </w:p>
        </w:tc>
        <w:tc>
          <w:tcPr>
            <w:tcW w:w="1200" w:type="dxa"/>
            <w:shd w:val="clear" w:fill="2E75B6"/>
          </w:tcPr>
          <w:p>
            <w:r>
              <w:rPr>
                <w:b/>
                <w:color w:val="FFFFFF"/>
                <w:sz w:val="18"/>
              </w:rPr>
              <w:t>P(timeout)</w:t>
            </w:r>
          </w:p>
        </w:tc>
        <w:tc>
          <w:tcPr>
            <w:tcW w:w="1200" w:type="dxa"/>
            <w:shd w:val="clear" w:fill="2E75B6"/>
          </w:tcPr>
          <w:p>
            <w:r>
              <w:rPr>
                <w:b/>
                <w:color w:val="FFFFFF"/>
                <w:sz w:val="18"/>
              </w:rPr>
              <w:t>P(FAIL)</w:t>
            </w:r>
          </w:p>
        </w:tc>
        <w:tc>
          <w:tcPr>
            <w:tcW w:w="1400" w:type="dxa"/>
            <w:shd w:val="clear" w:fill="2E75B6"/>
          </w:tcPr>
          <w:p>
            <w:r>
              <w:rPr>
                <w:b/>
                <w:color w:val="FFFFFF"/>
                <w:sz w:val="18"/>
              </w:rPr>
              <w:t>E[T|GOAL] (pas)</w:t>
            </w:r>
          </w:p>
        </w:tc>
      </w:tr>
      <w:tr>
        <w:tc>
          <w:tcPr>
            <w:tcW w:w="900" w:type="dxa"/>
          </w:tcPr>
          <w:p>
            <w:r>
              <w:t>0.00</w:t>
            </w:r>
          </w:p>
        </w:tc>
        <w:tc>
          <w:tcPr>
            <w:tcW w:w="1100" w:type="dxa"/>
          </w:tcPr>
          <w:p>
            <w:r>
              <w:t>14.0</w:t>
            </w:r>
          </w:p>
        </w:tc>
        <w:tc>
          <w:tcPr>
            <w:tcW w:w="1100" w:type="dxa"/>
          </w:tcPr>
          <w:p>
            <w:r>
              <w:t>1.000</w:t>
            </w:r>
          </w:p>
        </w:tc>
        <w:tc>
          <w:tcPr>
            <w:tcW w:w="1200" w:type="dxa"/>
          </w:tcPr>
          <w:p>
            <w:r>
              <w:t>0.000</w:t>
            </w:r>
          </w:p>
        </w:tc>
        <w:tc>
          <w:tcPr>
            <w:tcW w:w="1200" w:type="dxa"/>
          </w:tcPr>
          <w:p>
            <w:r>
              <w:t>0.000</w:t>
            </w:r>
          </w:p>
        </w:tc>
        <w:tc>
          <w:tcPr>
            <w:tcW w:w="1400" w:type="dxa"/>
          </w:tcPr>
          <w:p>
            <w:r>
              <w:t>14.0</w:t>
            </w:r>
          </w:p>
        </w:tc>
      </w:tr>
      <w:tr>
        <w:tc>
          <w:tcPr>
            <w:tcW w:w="900" w:type="dxa"/>
          </w:tcPr>
          <w:p>
            <w:r>
              <w:t>0.10</w:t>
            </w:r>
          </w:p>
        </w:tc>
        <w:tc>
          <w:tcPr>
            <w:tcW w:w="1100" w:type="dxa"/>
          </w:tcPr>
          <w:p>
            <w:r>
              <w:t>14.0</w:t>
            </w:r>
          </w:p>
        </w:tc>
        <w:tc>
          <w:tcPr>
            <w:tcW w:w="1100" w:type="dxa"/>
          </w:tcPr>
          <w:p>
            <w:r>
              <w:t>1.000</w:t>
            </w:r>
          </w:p>
        </w:tc>
        <w:tc>
          <w:tcPr>
            <w:tcW w:w="1200" w:type="dxa"/>
          </w:tcPr>
          <w:p>
            <w:r>
              <w:t>0.000</w:t>
            </w:r>
          </w:p>
        </w:tc>
        <w:tc>
          <w:tcPr>
            <w:tcW w:w="1200" w:type="dxa"/>
          </w:tcPr>
          <w:p>
            <w:r>
              <w:t>0.000</w:t>
            </w:r>
          </w:p>
        </w:tc>
        <w:tc>
          <w:tcPr>
            <w:tcW w:w="1400" w:type="dxa"/>
          </w:tcPr>
          <w:p>
            <w:r>
              <w:t>15.6</w:t>
            </w:r>
          </w:p>
        </w:tc>
      </w:tr>
      <w:tr>
        <w:tc>
          <w:tcPr>
            <w:tcW w:w="900" w:type="dxa"/>
          </w:tcPr>
          <w:p>
            <w:r>
              <w:t>0.20</w:t>
            </w:r>
          </w:p>
        </w:tc>
        <w:tc>
          <w:tcPr>
            <w:tcW w:w="1100" w:type="dxa"/>
          </w:tcPr>
          <w:p>
            <w:r>
              <w:t>14.0</w:t>
            </w:r>
          </w:p>
        </w:tc>
        <w:tc>
          <w:tcPr>
            <w:tcW w:w="1100" w:type="dxa"/>
          </w:tcPr>
          <w:p>
            <w:r>
              <w:t>1.000</w:t>
            </w:r>
          </w:p>
        </w:tc>
        <w:tc>
          <w:tcPr>
            <w:tcW w:w="1200" w:type="dxa"/>
          </w:tcPr>
          <w:p>
            <w:r>
              <w:t>0.000</w:t>
            </w:r>
          </w:p>
        </w:tc>
        <w:tc>
          <w:tcPr>
            <w:tcW w:w="1200" w:type="dxa"/>
          </w:tcPr>
          <w:p>
            <w:r>
              <w:t>0.000</w:t>
            </w:r>
          </w:p>
        </w:tc>
        <w:tc>
          <w:tcPr>
            <w:tcW w:w="1400" w:type="dxa"/>
          </w:tcPr>
          <w:p>
            <w:r>
              <w:t>17.6</w:t>
            </w:r>
          </w:p>
        </w:tc>
      </w:tr>
      <w:tr>
        <w:tc>
          <w:tcPr>
            <w:tcW w:w="900" w:type="dxa"/>
          </w:tcPr>
          <w:p>
            <w:r>
              <w:t>0.30</w:t>
            </w:r>
          </w:p>
        </w:tc>
        <w:tc>
          <w:tcPr>
            <w:tcW w:w="1100" w:type="dxa"/>
          </w:tcPr>
          <w:p>
            <w:r>
              <w:t>14.0</w:t>
            </w:r>
          </w:p>
        </w:tc>
        <w:tc>
          <w:tcPr>
            <w:tcW w:w="1100" w:type="dxa"/>
          </w:tcPr>
          <w:p>
            <w:r>
              <w:t>1.000</w:t>
            </w:r>
          </w:p>
        </w:tc>
        <w:tc>
          <w:tcPr>
            <w:tcW w:w="1200" w:type="dxa"/>
          </w:tcPr>
          <w:p>
            <w:r>
              <w:t>0.000</w:t>
            </w:r>
          </w:p>
        </w:tc>
        <w:tc>
          <w:tcPr>
            <w:tcW w:w="1200" w:type="dxa"/>
          </w:tcPr>
          <w:p>
            <w:r>
              <w:t>0.000</w:t>
            </w:r>
          </w:p>
        </w:tc>
        <w:tc>
          <w:tcPr>
            <w:tcW w:w="1400" w:type="dxa"/>
          </w:tcPr>
          <w:p>
            <w:r>
              <w:t>20.3</w:t>
            </w:r>
          </w:p>
        </w:tc>
      </w:tr>
    </w:tbl>
    <w:p w:rsidR="00B20A92" w:rsidRDefault="00181759">
      <w:pPr>
        <w:spacing w:before="60" w:after="160"/>
        <w:jc w:val="center"/>
      </w:pPr>
      <w:r>
        <w:rPr>
          <w:i/>
          <w:iCs/>
          <w:color w:val="5A6474"/>
          <w:sz w:val="18"/>
          <w:szCs w:val="18"/>
        </w:rPr>
        <w:t>Tableau 6 — Résultats Monte-Carlo pour différents niveaux d'incertitude (grille simple)</w:t>
      </w:r>
    </w:p>
    <w:p w:rsidR="00B20A92" w:rsidRDefault="00B20A92">
      <w:pPr>
        <w:spacing w:before="60" w:after="60"/>
      </w:pPr>
    </w:p>
    <w:p w:rsidR="00B20A92" w:rsidRDefault="00181759">
      <w:pPr>
        <w:spacing w:before="80" w:after="100"/>
        <w:jc w:val="both"/>
      </w:pPr>
      <w:r>
        <w:t xml:space="preserve">Observation clé : P(GOAL) = 1.000 pour tout ε est un artefact du modèle adopté, et non une propriété intrinsèque de la grille. La matrice P est construite exclusivement sur les états du chemin A* (14 cellules + GOAL) : toute déviation vers une cellule libre hors chemin est assimilée à une collision et produit un self-loop (l’agent reste sur place). L’agent ne peut donc jamais quitter le chemin par </w:t>
        <w:lastRenderedPageBreak/>
        <w:t>construction, ce qui garantit mécaniquement P(GOAL) = 1 quelle que soit la valeur de ε. Dans un modèle plus complet incluant toutes les cellules libres de la grille, un agent dévié pourrait errer hors du chemin et P(GOAL) diminuerait avec ε. Le seul coût effectivement modélisé ici est un allongement du trajet : E[T] passe de 14,0 pas (ε = 0,00) à 23,8 pas (ε = 0,40), soit une augmentation de +70 %.</w:t>
      </w:r>
    </w:p>
    <w:p w:rsidR="00B20A92" w:rsidRDefault="00181759">
      <w:pPr>
        <w:pStyle w:val="Titre2"/>
      </w:pPr>
      <w:bookmarkStart w:id="24" w:name="_Toc223607445"/>
      <w:r>
        <w:t>7.3 Validation théorie vs simulation</w:t>
      </w:r>
      <w:bookmarkEnd w:id="24"/>
    </w:p>
    <w:p w:rsidR="00B20A92" w:rsidRDefault="00181759">
      <w:pPr>
        <w:spacing w:before="120" w:after="60"/>
        <w:jc w:val="center"/>
      </w:pPr>
      <w:r>
        <w:rPr>
          <w:noProof/>
        </w:rPr>
        <w:drawing>
          <wp:inline distT="0" distB="0" distL="0" distR="0">
            <wp:extent cx="4572000" cy="1754054"/>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1754054"/>
                    </a:xfrm>
                    <a:prstGeom prst="rect">
                      <a:avLst/>
                    </a:prstGeom>
                  </pic:spPr>
                </pic:pic>
              </a:graphicData>
            </a:graphic>
          </wp:inline>
        </w:drawing>
      </w:r>
    </w:p>
    <w:p w:rsidR="00B20A92" w:rsidRDefault="00181759">
      <w:pPr>
        <w:spacing w:before="60" w:after="160"/>
        <w:jc w:val="center"/>
      </w:pPr>
      <w:r>
        <w:rPr>
          <w:i/>
          <w:iCs/>
          <w:color w:val="5A6474"/>
          <w:sz w:val="18"/>
          <w:szCs w:val="18"/>
        </w:rPr>
        <w:t>Figure 4 — Convergence de πⁿ[GOAL] (calcul matriciel vs CDF empirique Monte-Carlo) et histogramme des temps d'atteinte (grille simple, ε=0.10)</w:t>
      </w:r>
    </w:p>
    <w:p w:rsidR="00B20A92" w:rsidRDefault="00181759">
      <w:pPr>
        <w:spacing w:before="120" w:after="60"/>
        <w:jc w:val="center"/>
      </w:pPr>
      <w:r>
        <w:rPr>
          <w:noProof/>
        </w:rPr>
        <w:drawing>
          <wp:inline distT="0" distB="0" distL="0" distR="0">
            <wp:extent cx="4572000" cy="1754054"/>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1754054"/>
                    </a:xfrm>
                    <a:prstGeom prst="rect">
                      <a:avLst/>
                    </a:prstGeom>
                  </pic:spPr>
                </pic:pic>
              </a:graphicData>
            </a:graphic>
          </wp:inline>
        </w:drawing>
      </w:r>
    </w:p>
    <w:p w:rsidR="00B20A92" w:rsidRDefault="00181759">
      <w:pPr>
        <w:spacing w:before="60" w:after="160"/>
        <w:jc w:val="center"/>
      </w:pPr>
      <w:r>
        <w:rPr>
          <w:i/>
          <w:iCs/>
          <w:color w:val="5A6474"/>
          <w:sz w:val="18"/>
          <w:szCs w:val="18"/>
        </w:rPr>
        <w:t>Figure 5 — Même analyse pour le labyrinthe 10×10 (ε=0.10). Les courbes théoriques et empiriques coïncident.</w:t>
      </w:r>
    </w:p>
    <w:p w:rsidR="00B20A92" w:rsidRDefault="00B20A92">
      <w:pPr>
        <w:spacing w:before="60" w:after="60"/>
      </w:pPr>
    </w:p>
    <w:p w:rsidR="00B20A92" w:rsidRDefault="00181759">
      <w:pPr>
        <w:spacing w:before="80" w:after="100"/>
        <w:jc w:val="both"/>
      </w:pPr>
      <w:r>
        <w:t>Les courbes matricielles et Monte-Carlo coïncident visuellement pour les deux grilles. L'erreur relative sur E[T] est inférieure à 0.2%, ce qui confirme que le modèle Markov capture fidèlement la dynamique stochastique de l'agent [6].</w:t>
      </w:r>
    </w:p>
    <w:p w:rsidR="00B20A92" w:rsidRDefault="00181759">
      <w:pPr>
        <w:pStyle w:val="Titre1"/>
        <w:pBdr>
          <w:bottom w:val="single" w:sz="8" w:space="6" w:color="C0392B"/>
        </w:pBdr>
      </w:pPr>
      <w:r>
        <w:t>7 bis. Expérience E.3 — Comparaison des heuristiques admissibles</w:t>
      </w:r>
    </w:p>
    <w:p w:rsidR="00B20A92" w:rsidRDefault="00181759">
      <w:pPr>
        <w:pStyle w:val="Titre2"/>
      </w:pPr>
      <w:r>
        <w:t>Protocole</w:t>
      </w:r>
    </w:p>
    <w:p w:rsidR="00B20A92" w:rsidRDefault="00181759">
      <w:r>
        <w:t xml:space="preserve">Trois heuristiques admissibles sont comparées sur les mêmes grilles avec f(n) = g(n) + h(n) :</w:t>
      </w:r>
    </w:p>
    <w:p w:rsidR="00B20A92" w:rsidRDefault="00181759">
      <w:pPr>
        <w:numPr>
          <w:ilvl w:val="0"/>
          <w:numId w:val="1"/>
        </w:numPr>
      </w:pPr>
      <w:r>
        <w:t xml:space="preserve">h = 0 (heuristique nulle, équivalente à UCS) — admissible trivialement.</w:t>
      </w:r>
    </w:p>
    <w:p w:rsidR="00B20A92" w:rsidRDefault="00181759">
      <w:pPr>
        <w:numPr>
          <w:ilvl w:val="0"/>
          <w:numId w:val="1"/>
        </w:numPr>
      </w:pPr>
      <w:r>
        <w:t xml:space="preserve">h = Manhattan : h(n) = |x−xɡ| + |y−yɡ| — admissible (ignore les obstacles).</w:t>
      </w:r>
    </w:p>
    <w:p w:rsidR="00B20A92" w:rsidRDefault="00181759">
      <w:pPr>
        <w:numPr>
          <w:ilvl w:val="0"/>
          <w:numId w:val="1"/>
        </w:numPr>
      </w:pPr>
      <w:r>
        <w:t xml:space="preserve">h = Euclidean : h(n) = √((x−xɡ)² + (y−yɡ)²) — admissible en 4-connexité (sous-estime le coût réel).</w:t>
      </w:r>
    </w:p>
    <w:p w:rsidR="00B20A92" w:rsidRDefault="00181759">
      <w:pPr>
        <w:pStyle w:val="Titre2"/>
      </w:pPr>
      <w:r>
        <w:t>Résultats</w:t>
      </w:r>
    </w:p>
    <w:p w:rsidR="00B20A92" w:rsidRDefault="00181759">
      <w:r>
        <w:t xml:space="preserve">Le tableau ci-dessous résume les résultats obtenus sur les deux grilles principales. Toutes les heuristiques produisent un chemin optimal (même coût), seul le nombre de nœuds développés diffère.</w:t>
      </w:r>
    </w:p>
    <w:tbl>
      <w:tblPr>
        <w:tblW w:w="9026" w:type="dxa"/>
        <w:tblBorders>
          <w:top w:val="single" w:sz="4" w:color="AAAAAA"/>
          <w:left w:val="single" w:sz="4" w:color="AAAAAA"/>
          <w:bottom w:val="single" w:sz="4" w:color="AAAAAA"/>
          <w:right w:val="single" w:sz="4" w:color="AAAAAA"/>
          <w:insideH w:val="single" w:sz="4" w:color="AAAAAA"/>
          <w:insideV w:val="single" w:sz="4" w:color="AAAAAA"/>
        </w:tblBorders>
        <w:tblCellMar>
          <w:top w:w="80" w:type="dxa"/>
          <w:left w:w="120" w:type="dxa"/>
          <w:bottom w:w="80" w:type="dxa"/>
          <w:right w:w="120" w:type="dxa"/>
        </w:tblCellMar>
      </w:tblPr>
      <w:tblGrid>
        <w:gridCol w:w="2506"/>
        <w:gridCol w:w="1630"/>
        <w:gridCol w:w="1630"/>
        <w:gridCol w:w="1630"/>
        <w:gridCol w:w="1630"/>
      </w:tblGrid>
      <w:tr>
        <w:trPr/>
        <w:tc>
          <w:tcPr>
            <w:tcW w:w="2506" w:type="dxa"/>
            <w:shd w:val="clear" w:fill="2E75B6"/>
          </w:tcPr>
          <w:p>
            <w:r>
              <w:rPr>
                <w:b/>
                <w:color w:val="FFFFFF"/>
              </w:rPr>
              <w:t>Heuristique</w:t>
            </w:r>
          </w:p>
        </w:tc>
        <w:tc>
          <w:tcPr>
            <w:tcW w:w="1630" w:type="dxa"/>
            <w:shd w:val="clear" w:fill="2E75B6"/>
          </w:tcPr>
          <w:p>
            <w:r>
              <w:rPr>
                <w:b/>
                <w:color w:val="FFFFFF"/>
              </w:rPr>
              <w:t>Grille</w:t>
            </w:r>
          </w:p>
        </w:tc>
        <w:tc>
          <w:tcPr>
            <w:tcW w:w="1630" w:type="dxa"/>
            <w:shd w:val="clear" w:fill="2E75B6"/>
          </w:tcPr>
          <w:p>
            <w:r>
              <w:rPr>
                <w:b/>
                <w:color w:val="FFFFFF"/>
              </w:rPr>
              <w:t>Coût</w:t>
            </w:r>
          </w:p>
        </w:tc>
        <w:tc>
          <w:tcPr>
            <w:tcW w:w="1630" w:type="dxa"/>
            <w:shd w:val="clear" w:fill="2E75B6"/>
          </w:tcPr>
          <w:p>
            <w:r>
              <w:rPr>
                <w:b/>
                <w:color w:val="FFFFFF"/>
              </w:rPr>
              <w:t>Nœuds dév.</w:t>
            </w:r>
          </w:p>
        </w:tc>
        <w:tc>
          <w:tcPr>
            <w:tcW w:w="1630" w:type="dxa"/>
            <w:shd w:val="clear" w:fill="2E75B6"/>
          </w:tcPr>
          <w:p>
            <w:r>
              <w:rPr>
                <w:b/>
                <w:color w:val="FFFFFF"/>
              </w:rPr>
              <w:t>OPEN max</w:t>
            </w:r>
          </w:p>
        </w:tc>
      </w:tr>
      <w:tr>
        <w:tc>
          <w:tcPr>
            <w:tcW w:w="2506" w:type="dxa"/>
          </w:tcPr>
          <w:p>
            <w:r>
              <w:t>h = 0 (UCS)</w:t>
            </w:r>
          </w:p>
        </w:tc>
        <w:tc>
          <w:tcPr>
            <w:tcW w:w="1630" w:type="dxa"/>
          </w:tcPr>
          <w:p>
            <w:r>
              <w:t>Simple 8×8</w:t>
            </w:r>
          </w:p>
        </w:tc>
        <w:tc>
          <w:tcPr>
            <w:tcW w:w="1630" w:type="dxa"/>
          </w:tcPr>
          <w:p>
            <w:r>
              <w:t>14.0</w:t>
            </w:r>
          </w:p>
        </w:tc>
        <w:tc>
          <w:tcPr>
            <w:tcW w:w="1630" w:type="dxa"/>
          </w:tcPr>
          <w:p>
            <w:r>
              <w:t>53</w:t>
            </w:r>
          </w:p>
        </w:tc>
        <w:tc>
          <w:tcPr>
            <w:tcW w:w="1630" w:type="dxa"/>
          </w:tcPr>
          <w:p>
            <w:r>
              <w:t>7</w:t>
            </w:r>
          </w:p>
        </w:tc>
      </w:tr>
      <w:tr>
        <w:tc>
          <w:tcPr>
            <w:tcW w:w="2506" w:type="dxa"/>
          </w:tcPr>
          <w:p>
            <w:r>
              <w:t>h = Manhattan (A*)</w:t>
            </w:r>
          </w:p>
        </w:tc>
        <w:tc>
          <w:tcPr>
            <w:tcW w:w="1630" w:type="dxa"/>
          </w:tcPr>
          <w:p>
            <w:r>
              <w:t>Simple 8×8</w:t>
            </w:r>
          </w:p>
        </w:tc>
        <w:tc>
          <w:tcPr>
            <w:tcW w:w="1630" w:type="dxa"/>
          </w:tcPr>
          <w:p>
            <w:r>
              <w:t>14.0</w:t>
            </w:r>
          </w:p>
        </w:tc>
        <w:tc>
          <w:tcPr>
            <w:tcW w:w="1630" w:type="dxa"/>
          </w:tcPr>
          <w:p>
            <w:r>
              <w:t>53</w:t>
            </w:r>
          </w:p>
        </w:tc>
        <w:tc>
          <w:tcPr>
            <w:tcW w:w="1630" w:type="dxa"/>
          </w:tcPr>
          <w:p>
            <w:r>
              <w:t>7</w:t>
            </w:r>
          </w:p>
        </w:tc>
      </w:tr>
      <w:tr>
        <w:tc>
          <w:tcPr>
            <w:tcW w:w="2506" w:type="dxa"/>
          </w:tcPr>
          <w:p>
            <w:r>
              <w:t>h = Euclidean (A*)</w:t>
            </w:r>
          </w:p>
        </w:tc>
        <w:tc>
          <w:tcPr>
            <w:tcW w:w="1630" w:type="dxa"/>
          </w:tcPr>
          <w:p>
            <w:r>
              <w:t>Simple 8×8</w:t>
            </w:r>
          </w:p>
        </w:tc>
        <w:tc>
          <w:tcPr>
            <w:tcW w:w="1630" w:type="dxa"/>
          </w:tcPr>
          <w:p>
            <w:r>
              <w:t>14.0</w:t>
            </w:r>
          </w:p>
        </w:tc>
        <w:tc>
          <w:tcPr>
            <w:tcW w:w="1630" w:type="dxa"/>
          </w:tcPr>
          <w:p>
            <w:r>
              <w:t>53</w:t>
            </w:r>
          </w:p>
        </w:tc>
        <w:tc>
          <w:tcPr>
            <w:tcW w:w="1630" w:type="dxa"/>
          </w:tcPr>
          <w:p>
            <w:r>
              <w:t>11</w:t>
            </w:r>
          </w:p>
        </w:tc>
      </w:tr>
      <w:tr>
        <w:tc>
          <w:tcPr>
            <w:tcW w:w="2506" w:type="dxa"/>
          </w:tcPr>
          <w:p>
            <w:r>
              <w:t>h = 0 (UCS)</w:t>
            </w:r>
          </w:p>
        </w:tc>
        <w:tc>
          <w:tcPr>
            <w:tcW w:w="1630" w:type="dxa"/>
          </w:tcPr>
          <w:p>
            <w:r>
              <w:t>Labyrinthe 10×10</w:t>
            </w:r>
          </w:p>
        </w:tc>
        <w:tc>
          <w:tcPr>
            <w:tcW w:w="1630" w:type="dxa"/>
          </w:tcPr>
          <w:p>
            <w:r>
              <w:t>18.0</w:t>
            </w:r>
          </w:p>
        </w:tc>
        <w:tc>
          <w:tcPr>
            <w:tcW w:w="1630" w:type="dxa"/>
          </w:tcPr>
          <w:p>
            <w:r>
              <w:t>46</w:t>
            </w:r>
          </w:p>
        </w:tc>
        <w:tc>
          <w:tcPr>
            <w:tcW w:w="1630" w:type="dxa"/>
          </w:tcPr>
          <w:p>
            <w:r>
              <w:t>4</w:t>
            </w:r>
          </w:p>
        </w:tc>
      </w:tr>
      <w:tr>
        <w:tc>
          <w:tcPr>
            <w:tcW w:w="2506" w:type="dxa"/>
          </w:tcPr>
          <w:p>
            <w:r>
              <w:t>h = Manhattan (A*)</w:t>
            </w:r>
          </w:p>
        </w:tc>
        <w:tc>
          <w:tcPr>
            <w:tcW w:w="1630" w:type="dxa"/>
          </w:tcPr>
          <w:p>
            <w:r>
              <w:t>Labyrinthe 10×10</w:t>
            </w:r>
          </w:p>
        </w:tc>
        <w:tc>
          <w:tcPr>
            <w:tcW w:w="1630" w:type="dxa"/>
          </w:tcPr>
          <w:p>
            <w:r>
              <w:t>18.0</w:t>
            </w:r>
          </w:p>
        </w:tc>
        <w:tc>
          <w:tcPr>
            <w:tcW w:w="1630" w:type="dxa"/>
          </w:tcPr>
          <w:p>
            <w:r>
              <w:t>20</w:t>
            </w:r>
          </w:p>
        </w:tc>
        <w:tc>
          <w:tcPr>
            <w:tcW w:w="1630" w:type="dxa"/>
          </w:tcPr>
          <w:p>
            <w:r>
              <w:t>5</w:t>
            </w:r>
          </w:p>
        </w:tc>
      </w:tr>
      <w:tr>
        <w:tc>
          <w:tcPr>
            <w:tcW w:w="2506" w:type="dxa"/>
          </w:tcPr>
          <w:p>
            <w:r>
              <w:t>h = Euclidean (A*)</w:t>
            </w:r>
          </w:p>
        </w:tc>
        <w:tc>
          <w:tcPr>
            <w:tcW w:w="1630" w:type="dxa"/>
          </w:tcPr>
          <w:p>
            <w:r>
              <w:t>Labyrinthe 10×10</w:t>
            </w:r>
          </w:p>
        </w:tc>
        <w:tc>
          <w:tcPr>
            <w:tcW w:w="1630" w:type="dxa"/>
          </w:tcPr>
          <w:p>
            <w:r>
              <w:t>18.0</w:t>
            </w:r>
          </w:p>
        </w:tc>
        <w:tc>
          <w:tcPr>
            <w:tcW w:w="1630" w:type="dxa"/>
          </w:tcPr>
          <w:p>
            <w:r>
              <w:t>24</w:t>
            </w:r>
          </w:p>
        </w:tc>
        <w:tc>
          <w:tcPr>
            <w:tcW w:w="1630" w:type="dxa"/>
          </w:tcPr>
          <w:p>
            <w:r>
              <w:t>5</w:t>
            </w:r>
          </w:p>
        </w:tc>
      </w:tr>
    </w:tbl>
    <w:p w:rsidR="00B20A92" w:rsidRDefault="00181759">
      <w:pPr>
        <w:jc w:val="center"/>
        <w:rPr>
          <w:i/>
        </w:rPr>
      </w:pPr>
      <w:r>
        <w:rPr>
          <w:i/>
        </w:rPr>
        <w:t>Tableau E.3 — Comparaison des heuristiques admissibles (coûts identiques, nœuds différents)</w:t>
      </w:r>
    </w:p>
    <w:p w:rsidR="00B20A92" w:rsidRDefault="00181759">
      <w:pPr>
        <w:pStyle w:val="Titre2"/>
      </w:pPr>
      <w:r>
        <w:t>Visualisation des chemins</w:t>
      </w:r>
    </w:p>
    <w:p w:rsidR="00B20A92" w:rsidRDefault="00181759">
      <w:r>
        <w:rPr>
          <w:noProof/>
        </w:rPr>
        <w:drawing>
          <wp:inline xmlns:wp="http://schemas.openxmlformats.org/drawingml/2006/wordprocessingDrawing">
            <wp:extent cx="4800000" cy="1692063"/>
            <wp:effectExtent l="0" t="0" r="0" b="0"/>
            <wp:docPr id="201" name="image9"/>
            <a:graphic xmlns:a="http://schemas.openxmlformats.org/drawingml/2006/main">
              <a:graphicData uri="http://schemas.openxmlformats.org/drawingml/2006/picture">
                <pic:pic xmlns:pic="http://schemas.openxmlformats.org/drawingml/2006/picture">
                  <pic:nvPicPr>
                    <pic:cNvPr id="201" name="image9"/>
                    <pic:cNvPicPr/>
                  </pic:nvPicPr>
                  <pic:blipFill>
                    <a:blip xmlns:r="http://schemas.openxmlformats.org/officeDocument/2006/relationships" r:embed="rId17"/>
                    <a:stretch>
                      <a:fillRect/>
                    </a:stretch>
                  </pic:blipFill>
                  <pic:spPr>
                    <a:xfrm>
                      <a:off x="0" y="0"/>
                      <a:ext cx="4800000" cy="1692063"/>
                    </a:xfrm>
                    <a:prstGeom prst="rect">
                      <a:avLst/>
                    </a:prstGeom>
                  </pic:spPr>
                </pic:pic>
              </a:graphicData>
            </a:graphic>
          </wp:inline>
        </w:drawing>
      </w:r>
    </w:p>
    <w:p w:rsidR="00B20A92" w:rsidRDefault="00181759">
      <w:pPr>
        <w:jc w:val="center"/>
        <w:rPr>
          <w:i/>
        </w:rPr>
      </w:pPr>
      <w:r>
        <w:rPr>
          <w:i/>
        </w:rPr>
        <w:t>Figure E.3a — Chemins obtenus avec h=0, Manhattan et Euclidean sur la grille simple</w:t>
      </w:r>
    </w:p>
    <w:p w:rsidR="00B20A92" w:rsidRDefault="00181759">
      <w:pPr>
        <w:pStyle w:val="Titre2"/>
      </w:pPr>
      <w:r>
        <w:t>Analyse comparative</w:t>
      </w:r>
    </w:p>
    <w:p w:rsidR="00B20A92" w:rsidRDefault="00181759">
      <w:r>
        <w:t xml:space="preserve">Les trois heuristiques produisent le même chemin optimal (coût identique). La différence clé réside dans l’efficacité de la recherche, mesurée par le nombre de nœuds développés.</w:t>
      </w:r>
    </w:p>
    <w:p w:rsidR="00B20A92" w:rsidRDefault="00181759">
      <w:r>
        <w:rPr>
          <w:noProof/>
        </w:rPr>
        <w:drawing>
          <wp:inline xmlns:wp="http://schemas.openxmlformats.org/drawingml/2006/wordprocessingDrawing">
            <wp:extent cx="4200000" cy="2071172"/>
            <wp:effectExtent l="0" t="0" r="0" b="0"/>
            <wp:docPr id="202" name="image10"/>
            <a:graphic xmlns:a="http://schemas.openxmlformats.org/drawingml/2006/main">
              <a:graphicData uri="http://schemas.openxmlformats.org/drawingml/2006/picture">
                <pic:pic xmlns:pic="http://schemas.openxmlformats.org/drawingml/2006/picture">
                  <pic:nvPicPr>
                    <pic:cNvPr id="202" name="image10"/>
                    <pic:cNvPicPr/>
                  </pic:nvPicPr>
                  <pic:blipFill>
                    <a:blip xmlns:r="http://schemas.openxmlformats.org/officeDocument/2006/relationships" r:embed="rId18"/>
                    <a:stretch>
                      <a:fillRect/>
                    </a:stretch>
                  </pic:blipFill>
                  <pic:spPr>
                    <a:xfrm>
                      <a:off x="0" y="0"/>
                      <a:ext cx="4200000" cy="2071172"/>
                    </a:xfrm>
                    <a:prstGeom prst="rect">
                      <a:avLst/>
                    </a:prstGeom>
                  </pic:spPr>
                </pic:pic>
              </a:graphicData>
            </a:graphic>
          </wp:inline>
        </w:drawing>
      </w:r>
    </w:p>
    <w:p w:rsidR="00B20A92" w:rsidRDefault="00181759">
      <w:pPr>
        <w:jc w:val="center"/>
        <w:rPr>
          <w:i/>
        </w:rPr>
      </w:pPr>
      <w:r>
        <w:rPr>
          <w:i/>
        </w:rPr>
        <w:t>Figure E.3b — Nœuds développés et OPEN max par heuristique (grille simple)</w:t>
      </w:r>
    </w:p>
    <w:p w:rsidR="00B20A92" w:rsidRDefault="00181759">
      <w:r>
        <w:rPr>
          <w:noProof/>
        </w:rPr>
        <w:drawing>
          <wp:inline xmlns:wp="http://schemas.openxmlformats.org/drawingml/2006/wordprocessingDrawing">
            <wp:extent cx="4200000" cy="2071172"/>
            <wp:effectExtent l="0" t="0" r="0" b="0"/>
            <wp:docPr id="203" name="image11"/>
            <a:graphic xmlns:a="http://schemas.openxmlformats.org/drawingml/2006/main">
              <a:graphicData uri="http://schemas.openxmlformats.org/drawingml/2006/picture">
                <pic:pic xmlns:pic="http://schemas.openxmlformats.org/drawingml/2006/picture">
                  <pic:nvPicPr>
                    <pic:cNvPr id="203" name="image11"/>
                    <pic:cNvPicPr/>
                  </pic:nvPicPr>
                  <pic:blipFill>
                    <a:blip xmlns:r="http://schemas.openxmlformats.org/officeDocument/2006/relationships" r:embed="rId19"/>
                    <a:stretch>
                      <a:fillRect/>
                    </a:stretch>
                  </pic:blipFill>
                  <pic:spPr>
                    <a:xfrm>
                      <a:off x="0" y="0"/>
                      <a:ext cx="4200000" cy="2071172"/>
                    </a:xfrm>
                    <a:prstGeom prst="rect">
                      <a:avLst/>
                    </a:prstGeom>
                  </pic:spPr>
                </pic:pic>
              </a:graphicData>
            </a:graphic>
          </wp:inline>
        </w:drawing>
      </w:r>
    </w:p>
    <w:p w:rsidR="00B20A92" w:rsidRDefault="00181759">
      <w:pPr>
        <w:jc w:val="center"/>
        <w:rPr>
          <w:i/>
        </w:rPr>
      </w:pPr>
      <w:r>
        <w:rPr>
          <w:i/>
        </w:rPr>
        <w:t>Figure E.3c — Nœuds développés et OPEN max par heuristique (labyrinthe 10×10)</w:t>
      </w:r>
    </w:p>
    <w:p w:rsidR="00B20A92" w:rsidRDefault="00181759">
      <w:pPr>
        <w:pStyle w:val="Titre2"/>
      </w:pPr>
      <w:r>
        <w:t>Interprétation</w:t>
      </w:r>
    </w:p>
    <w:p w:rsidR="00B20A92" w:rsidRDefault="00181759">
      <w:r>
        <w:t xml:space="preserve">Sur la grille simple (peu d’obstacles), les trois heuristiques développent le même nombre de nœuds (53). La grille étant peu contrainte, Manhattan et h=0 guident de façon équivalente. Sur le labyrinthe (fortement contraint), Manhattan s’impose nettement : 20 nœuds développés contre 46 pour h=0 (−57 %) et 24 pour Euclidean. Manhattan est donc la heuristique la plus informative sur les grilles 4-connexes : elle évalue exactement le coût minimal théorique en l’absence d’obstacles, tandis qu’Euclidean sous-estime davantage et induit plus d’explorations inutiles.</w:t>
      </w:r>
    </w:p>
    <w:p w:rsidR="00B20A92" w:rsidRDefault="00181759">
      <w:pPr>
        <w:pStyle w:val="Titre1"/>
        <w:pBdr>
          <w:bottom w:val="single" w:sz="8" w:space="6" w:color="C0392B"/>
        </w:pBdr>
      </w:pPr>
      <w:bookmarkStart w:id="25" w:name="_Toc223607446"/>
      <w:r>
        <w:t>8. Discussion et limites</w:t>
      </w:r>
      <w:bookmarkEnd w:id="25"/>
    </w:p>
    <w:p w:rsidR="00B20A92" w:rsidRDefault="00181759">
      <w:pPr>
        <w:pStyle w:val="Titre2"/>
      </w:pPr>
      <w:bookmarkStart w:id="26" w:name="_Toc223607447"/>
      <w:r>
        <w:t>8.1 Forces de l'approche hybride</w:t>
      </w:r>
      <w:bookmarkEnd w:id="26"/>
    </w:p>
    <w:p w:rsidR="00B20A92" w:rsidRDefault="00181759">
      <w:pPr>
        <w:pStyle w:val="Paragraphedeliste"/>
        <w:numPr>
          <w:ilvl w:val="0"/>
          <w:numId w:val="2"/>
        </w:numPr>
        <w:spacing w:before="60" w:after="60"/>
      </w:pPr>
      <w:r>
        <w:t>Optimalité garantie : A* avec heuristique admissible produit toujours le chemin de coût minimal, même en présence d'obstacles complexes [1][2].</w:t>
      </w:r>
    </w:p>
    <w:p w:rsidR="00B20A92" w:rsidRDefault="00181759">
      <w:pPr>
        <w:pStyle w:val="Paragraphedeliste"/>
        <w:numPr>
          <w:ilvl w:val="0"/>
          <w:numId w:val="2"/>
        </w:numPr>
        <w:spacing w:before="60" w:after="60"/>
      </w:pPr>
      <w:r>
        <w:t>Quantification de l'incertitude : la chaîne de Markov fournit des mesures probabilistes exactes (P(GOAL), E[T]) sans approximation supplémentaire [3][4].</w:t>
      </w:r>
    </w:p>
    <w:p w:rsidR="00B20A92" w:rsidRDefault="00181759">
      <w:pPr>
        <w:pStyle w:val="Paragraphedeliste"/>
        <w:numPr>
          <w:ilvl w:val="0"/>
          <w:numId w:val="2"/>
        </w:numPr>
        <w:spacing w:before="60" w:after="60"/>
      </w:pPr>
      <w:r>
        <w:t>Validation croisée : la simulation Monte-Carlo confirme les résultats analytiques et permet de détecter d'éventuelles erreurs de modélisation [6].</w:t>
      </w:r>
    </w:p>
    <w:p w:rsidR="00B20A92" w:rsidRDefault="00181759">
      <w:pPr>
        <w:pStyle w:val="Paragraphedeliste"/>
        <w:numPr>
          <w:ilvl w:val="0"/>
          <w:numId w:val="2"/>
        </w:numPr>
        <w:spacing w:before="60" w:after="60"/>
      </w:pPr>
      <w:r>
        <w:t>Modularité : les trois modules (astar.py, markov.py, experiments.py) sont indépendants et réutilisables.</w:t>
      </w:r>
    </w:p>
    <w:p w:rsidR="00B20A92" w:rsidRDefault="00181759">
      <w:pPr>
        <w:pStyle w:val="Titre2"/>
      </w:pPr>
      <w:bookmarkStart w:id="27" w:name="_Toc223607448"/>
      <w:r>
        <w:t>8.2 Limites et améliorations</w:t>
      </w:r>
      <w:bookmarkEnd w:id="27"/>
    </w:p>
    <w:p w:rsidR="00B20A92" w:rsidRDefault="00181759">
      <w:pPr>
        <w:pStyle w:val="Paragraphedeliste"/>
        <w:numPr>
          <w:ilvl w:val="0"/>
          <w:numId w:val="2"/>
        </w:numPr>
        <w:spacing w:before="60" w:after="60"/>
      </w:pPr>
      <w:r>
        <w:t>Passage à l’échelle : la matrice P occupe O(|S|²) en mémoire (stockage dense), prohibitif pour de grandes grilles. La construction elle-même est O(|S|) car on itère uniquement sur les états. Des méthodes de simulation directe ou MDP (Value Iteration) seraient préférables pour éviter le stockage explicite de P [5][8].</w:t>
      </w:r>
    </w:p>
    <w:p w:rsidR="00B20A92" w:rsidRDefault="00181759">
      <w:pPr>
        <w:pStyle w:val="Paragraphedeliste"/>
        <w:numPr>
          <w:ilvl w:val="0"/>
          <w:numId w:val="2"/>
        </w:numPr>
        <w:spacing w:before="60" w:after="60"/>
      </w:pPr>
      <w:r>
        <w:t>Politique fixe : la politique est dérivée du chemin A* et ne se recalcule pas après une déviation. Une approche MDP optimiserait la politique en tenant compte de l'incertitude dès la planification [7].</w:t>
      </w:r>
    </w:p>
    <w:p w:rsidR="00B20A92" w:rsidRDefault="00181759">
      <w:pPr>
        <w:pStyle w:val="Paragraphedeliste"/>
        <w:numPr>
          <w:ilvl w:val="0"/>
          <w:numId w:val="2"/>
        </w:numPr>
        <w:spacing w:before="60" w:after="60"/>
      </w:pPr>
      <w:r>
        <w:lastRenderedPageBreak/>
        <w:t>Modèle d'incertitude simplifié : ε est uniforme sur tous les états. Un modèle plus réaliste pourrait varier ε selon le terrain (glissant, encombré, etc.).</w:t>
      </w:r>
    </w:p>
    <w:p w:rsidR="00B20A92" w:rsidRDefault="00181759">
      <w:pPr>
        <w:pStyle w:val="Paragraphedeliste"/>
        <w:numPr>
          <w:ilvl w:val="0"/>
          <w:numId w:val="2"/>
        </w:numPr>
        <w:spacing w:before="60" w:after="60"/>
      </w:pPr>
      <w:r>
        <w:t>Absence de FAIL : introduire des zones dangereuses permettrait d’étudier des compromis risque/temps.</w:t>
      </w:r>
    </w:p>
    <w:p w:rsidR="00B20A92" w:rsidRDefault="00181759">
      <w:pPr>
        <w:pStyle w:val="Paragraphedeliste"/>
        <w:numPr>
          <w:ilvl w:val="0"/>
          <w:numId w:val="2"/>
        </w:numPr>
        <w:spacing w:before="60" w:after="60"/>
      </w:pPr>
      <w:r>
        <w:t>Espace d’états restreint au chemin : P est construite uniquement sur les états du chemin A* planifié, et non sur l’ensemble des cellules libres de la grille. Cette hypothèse est la cause directe de P(GOAL) = 1 pour tout ε observé au Tableau 7 (cf. section 7.2). Un modèle complet ferait transiter l’agent vers n’importe quelle cellule libre après déviation, produisant des trajectoires où l’agent peut se perdre et ne jamais atteindre GOAL.</w:t>
      </w:r>
    </w:p>
    <w:p w:rsidR="00B20A92" w:rsidRDefault="00181759">
      <w:pPr>
        <w:pStyle w:val="Titre2"/>
      </w:pPr>
      <w:bookmarkStart w:id="28" w:name="_Toc223607449"/>
      <w:r>
        <w:t>8.3 Synthèse</w:t>
      </w:r>
      <w:bookmarkEnd w:id="28"/>
    </w:p>
    <w:p w:rsidR="00B20A92" w:rsidRDefault="00181759">
      <w:pPr>
        <w:pBdr>
          <w:left w:val="single" w:sz="20" w:space="8" w:color="C0392B"/>
        </w:pBdr>
        <w:shd w:val="clear" w:color="auto" w:fill="FDF2F2"/>
        <w:spacing w:before="120" w:after="120"/>
        <w:ind w:left="720" w:right="360"/>
        <w:jc w:val="both"/>
      </w:pPr>
      <w:r>
        <w:rPr>
          <w:i/>
          <w:iCs/>
        </w:rPr>
        <w:t>Ce projet démontre qu’une planification déterministe (A*) combinée à une analyse probabiliste (Markov) offre une évaluation complète de la robustesse d’un plan. Sur les grilles testées, la politique A* paraît robuste jusqu’à ε = 0,40 avec P(GOAL) = 1, mais ce résultat est conditionné par la restriction de P aux seuls états du chemin (cf. limite « Espace d’états restreint »). Le coût réel de l’incertitude, correctement capturé par le modèle, est un allongement significatif du trajet plutôt que des échecs d’atteinte du but.</w:t>
      </w:r>
    </w:p>
    <w:p w:rsidR="00B20A92" w:rsidRDefault="00181759">
      <w:pPr>
        <w:pStyle w:val="Titre1"/>
        <w:pBdr>
          <w:bottom w:val="single" w:sz="8" w:space="6" w:color="C0392B"/>
        </w:pBdr>
      </w:pPr>
      <w:bookmarkStart w:id="29" w:name="_Toc223607450"/>
      <w:r>
        <w:t>9. Conclusion</w:t>
      </w:r>
      <w:bookmarkEnd w:id="29"/>
    </w:p>
    <w:p w:rsidR="00B20A92" w:rsidRDefault="00181759">
      <w:pPr>
        <w:spacing w:before="80" w:after="100"/>
        <w:jc w:val="both"/>
      </w:pPr>
      <w:r>
        <w:t>Ce mini-projet a réalisé l'ensemble des phases demandées : définition de grilles variées, implémentation et comparaison des algorithmes de planification, construction et analyse de la chaîne de Markov induite, et validation Monte-Carlo. Les principaux résultats sont :</w:t>
      </w:r>
    </w:p>
    <w:p w:rsidR="00B20A92" w:rsidRDefault="00B20A92">
      <w:pPr>
        <w:spacing w:before="60" w:after="60"/>
      </w:pPr>
    </w:p>
    <w:p w:rsidR="00B20A92" w:rsidRDefault="00181759">
      <w:pPr>
        <w:pStyle w:val="Paragraphedeliste"/>
        <w:numPr>
          <w:ilvl w:val="0"/>
          <w:numId w:val="2"/>
        </w:numPr>
        <w:spacing w:before="60" w:after="60"/>
      </w:pPr>
      <w:r>
        <w:t>A* avec heuristique Manhattan est optimal (même chemin que UCS) tout en étant plus efficace sur les grilles ouvertes [1][2].</w:t>
      </w:r>
    </w:p>
    <w:p w:rsidR="00B20A92" w:rsidRDefault="00181759">
      <w:pPr>
        <w:pStyle w:val="Paragraphedeliste"/>
        <w:numPr>
          <w:ilvl w:val="0"/>
          <w:numId w:val="2"/>
        </w:numPr>
        <w:spacing w:before="60" w:after="60"/>
      </w:pPr>
      <w:r>
        <w:t>La matrice de transition P est stochastique et l’analyse d’absorption donne P(GOAL) = 1 pour ε ≤ 0,40 sur les grilles testées [3][4] ; ce résultat découle de la restriction de P aux états du chemin (voir limite identifiée en section 8.2).</w:t>
      </w:r>
    </w:p>
    <w:p w:rsidR="00B20A92" w:rsidRDefault="00181759">
      <w:pPr>
        <w:pStyle w:val="Paragraphedeliste"/>
        <w:numPr>
          <w:ilvl w:val="0"/>
          <w:numId w:val="2"/>
        </w:numPr>
        <w:spacing w:before="60" w:after="60"/>
      </w:pPr>
      <w:r>
        <w:t>Le calcul matriciel (N=(I-Q)⁻¹) et la simulation Monte-Carlo (N=3000) concordent à moins de 0.2% d'erreur relative [6].</w:t>
      </w:r>
    </w:p>
    <w:p w:rsidR="00B20A92" w:rsidRDefault="00181759">
      <w:pPr>
        <w:pStyle w:val="Paragraphedeliste"/>
        <w:numPr>
          <w:ilvl w:val="0"/>
          <w:numId w:val="2"/>
        </w:numPr>
        <w:spacing w:before="60" w:after="60"/>
      </w:pPr>
      <w:r>
        <w:t>L’incertitude augmente le temps de trajet de manière quasi-linéaire en ε (+70 % de ε = 0 à ε = 0,40) ; P(GOAL) reste égal à 1 dans le modèle restreint au chemin, mais serait inférieur à 1 dans un modèle intégrant l’ensemble des cellules libres.</w:t>
      </w:r>
    </w:p>
    <w:p w:rsidR="00B20A92" w:rsidRDefault="00B20A92">
      <w:pPr>
        <w:spacing w:before="60" w:after="60"/>
      </w:pPr>
    </w:p>
    <w:p w:rsidR="00B20A92" w:rsidRDefault="00181759">
      <w:pPr>
        <w:spacing w:before="80" w:after="100"/>
        <w:jc w:val="both"/>
      </w:pPr>
      <w:r>
        <w:rPr>
          <w:i/>
          <w:iCs/>
          <w:color w:val="5A6474"/>
        </w:rPr>
        <w:t>Ce travail ouvre des perspectives vers la planification sous incertitude avec replanification dynamique (MDP, POMDP) [5][7][8] et des grilles plus grandes nécessitant des méthodes approchées.</w:t>
      </w:r>
    </w:p>
    <w:p w:rsidR="00B20A92" w:rsidRDefault="00181759">
      <w:r>
        <w:br w:type="page"/>
      </w:r>
    </w:p>
    <w:p w:rsidR="00B20A92" w:rsidRPr="00181759" w:rsidRDefault="00181759">
      <w:pPr>
        <w:pStyle w:val="Titre1"/>
        <w:pBdr>
          <w:bottom w:val="single" w:sz="8" w:space="6" w:color="C0392B"/>
        </w:pBdr>
        <w:rPr>
          <w:lang w:val="en-CA"/>
        </w:rPr>
      </w:pPr>
      <w:bookmarkStart w:id="30" w:name="_Toc223607451"/>
      <w:r>
        <w:rPr>
          <w:lang w:val="en-CA"/>
        </w:rPr>
        <w:lastRenderedPageBreak/>
        <w:t>Références</w:t>
      </w:r>
      <w:bookmarkEnd w:id="30"/>
    </w:p>
    <w:p w:rsidR="00B20A92" w:rsidRPr="00181759" w:rsidRDefault="00B20A92">
      <w:pPr>
        <w:spacing w:before="60" w:after="60"/>
        <w:rPr>
          <w:lang w:val="en-CA"/>
        </w:rPr>
      </w:pPr>
    </w:p>
    <w:p w:rsidR="00B20A92" w:rsidRPr="00181759" w:rsidRDefault="00181759">
      <w:pPr>
        <w:spacing w:before="80" w:after="80"/>
        <w:ind w:left="720" w:hanging="720"/>
        <w:rPr>
          <w:lang w:val="en-CA"/>
        </w:rPr>
      </w:pPr>
      <w:r>
        <w:rPr>
          <w:b/>
          <w:bCs/>
          <w:color w:val="C0392B"/>
          <w:sz w:val="20"/>
          <w:szCs w:val="20"/>
          <w:lang w:val="en-CA"/>
        </w:rPr>
        <w:t xml:space="preserve">[1] </w:t>
      </w:r>
      <w:r>
        <w:rPr>
          <w:sz w:val="20"/>
          <w:szCs w:val="20"/>
          <w:lang w:val="en-CA"/>
        </w:rPr>
        <w:t xml:space="preserve">P. E. Hart, N. J. Nilsson et B. Raphael, </w:t>
      </w:r>
      <w:r>
        <w:rPr>
          <w:i/>
          <w:iCs/>
          <w:sz w:val="20"/>
          <w:szCs w:val="20"/>
          <w:lang w:val="en-CA"/>
        </w:rPr>
        <w:t xml:space="preserve">« A Formal Basis for the Heuristic Determination of Minimum Cost Paths », </w:t>
      </w:r>
      <w:r>
        <w:rPr>
          <w:color w:val="5A6474"/>
          <w:sz w:val="20"/>
          <w:szCs w:val="20"/>
          <w:lang w:val="en-CA"/>
        </w:rPr>
        <w:t>IEEE Transactions on Systems Science and Cybernetics, vol. 4, n° 2, pp. 100–107, 1968.</w:t>
      </w:r>
    </w:p>
    <w:p w:rsidR="00B20A92" w:rsidRPr="00181759" w:rsidRDefault="00181759">
      <w:pPr>
        <w:spacing w:before="80" w:after="80"/>
        <w:ind w:left="720" w:hanging="720"/>
        <w:rPr>
          <w:lang w:val="en-CA"/>
        </w:rPr>
      </w:pPr>
      <w:r>
        <w:rPr>
          <w:b/>
          <w:bCs/>
          <w:color w:val="C0392B"/>
          <w:sz w:val="20"/>
          <w:szCs w:val="20"/>
          <w:lang w:val="en-CA"/>
        </w:rPr>
        <w:t xml:space="preserve">[2] </w:t>
      </w:r>
      <w:r>
        <w:rPr>
          <w:sz w:val="20"/>
          <w:szCs w:val="20"/>
          <w:lang w:val="en-CA"/>
        </w:rPr>
        <w:t xml:space="preserve">S. J. Russell et P. Norvig, </w:t>
      </w:r>
      <w:r>
        <w:rPr>
          <w:i/>
          <w:iCs/>
          <w:sz w:val="20"/>
          <w:szCs w:val="20"/>
          <w:lang w:val="en-CA"/>
        </w:rPr>
        <w:t xml:space="preserve">Artificial Intelligence: A Modern Approach, 4e éd. </w:t>
      </w:r>
      <w:r>
        <w:rPr>
          <w:color w:val="5A6474"/>
          <w:sz w:val="20"/>
          <w:szCs w:val="20"/>
          <w:lang w:val="en-CA"/>
        </w:rPr>
        <w:t>Hoboken, NJ, USA : Pearson, 2020.</w:t>
      </w:r>
    </w:p>
    <w:p w:rsidR="00B20A92" w:rsidRPr="00181759" w:rsidRDefault="00181759">
      <w:pPr>
        <w:spacing w:before="80" w:after="80"/>
        <w:ind w:left="720" w:hanging="720"/>
        <w:rPr>
          <w:lang w:val="en-CA"/>
        </w:rPr>
      </w:pPr>
      <w:r>
        <w:rPr>
          <w:b/>
          <w:bCs/>
          <w:color w:val="C0392B"/>
          <w:sz w:val="20"/>
          <w:szCs w:val="20"/>
          <w:lang w:val="en-CA"/>
        </w:rPr>
        <w:t xml:space="preserve">[3] </w:t>
      </w:r>
      <w:r>
        <w:rPr>
          <w:sz w:val="20"/>
          <w:szCs w:val="20"/>
          <w:lang w:val="en-CA"/>
        </w:rPr>
        <w:t xml:space="preserve">R. Bellman, </w:t>
      </w:r>
      <w:r>
        <w:rPr>
          <w:i/>
          <w:iCs/>
          <w:sz w:val="20"/>
          <w:szCs w:val="20"/>
          <w:lang w:val="en-CA"/>
        </w:rPr>
        <w:t xml:space="preserve">« A Markovian Decision Process », </w:t>
      </w:r>
      <w:r>
        <w:rPr>
          <w:color w:val="5A6474"/>
          <w:sz w:val="20"/>
          <w:szCs w:val="20"/>
          <w:lang w:val="en-CA"/>
        </w:rPr>
        <w:t>Journal of Mathematics and Mechanics, vol. 6, n° 5, pp. 679–684, 1957.</w:t>
      </w:r>
    </w:p>
    <w:p w:rsidR="00B20A92" w:rsidRPr="00181759" w:rsidRDefault="00181759">
      <w:pPr>
        <w:spacing w:before="80" w:after="80"/>
        <w:ind w:left="720" w:hanging="720"/>
        <w:rPr>
          <w:lang w:val="en-CA"/>
        </w:rPr>
      </w:pPr>
      <w:r>
        <w:rPr>
          <w:b/>
          <w:bCs/>
          <w:color w:val="C0392B"/>
          <w:sz w:val="20"/>
          <w:szCs w:val="20"/>
        </w:rPr>
        <w:t xml:space="preserve">[4] </w:t>
      </w:r>
      <w:r>
        <w:rPr>
          <w:sz w:val="20"/>
          <w:szCs w:val="20"/>
        </w:rPr>
        <w:t xml:space="preserve">J. R. Norris, </w:t>
      </w:r>
      <w:r>
        <w:rPr>
          <w:i/>
          <w:iCs/>
          <w:sz w:val="20"/>
          <w:szCs w:val="20"/>
        </w:rPr>
        <w:t xml:space="preserve">Markov Chains. </w:t>
      </w:r>
      <w:r>
        <w:rPr>
          <w:color w:val="5A6474"/>
          <w:sz w:val="20"/>
          <w:szCs w:val="20"/>
          <w:lang w:val="en-CA"/>
        </w:rPr>
        <w:t>Cambridge, UK : Cambridge University Press, 1997.</w:t>
      </w:r>
    </w:p>
    <w:p w:rsidR="00B20A92" w:rsidRPr="00181759" w:rsidRDefault="00181759">
      <w:pPr>
        <w:spacing w:before="80" w:after="80"/>
        <w:ind w:left="720" w:hanging="720"/>
        <w:rPr>
          <w:lang w:val="en-CA"/>
        </w:rPr>
      </w:pPr>
      <w:r>
        <w:rPr>
          <w:b/>
          <w:bCs/>
          <w:color w:val="C0392B"/>
          <w:sz w:val="20"/>
          <w:szCs w:val="20"/>
          <w:lang w:val="en-CA"/>
        </w:rPr>
        <w:t xml:space="preserve">[5] </w:t>
      </w:r>
      <w:r>
        <w:rPr>
          <w:sz w:val="20"/>
          <w:szCs w:val="20"/>
          <w:lang w:val="en-CA"/>
        </w:rPr>
        <w:t xml:space="preserve">D. P. Bertsekas, </w:t>
      </w:r>
      <w:r>
        <w:rPr>
          <w:i/>
          <w:iCs/>
          <w:sz w:val="20"/>
          <w:szCs w:val="20"/>
          <w:lang w:val="en-CA"/>
        </w:rPr>
        <w:t xml:space="preserve">Dynamic Programming and Optimal Control, 4e éd. </w:t>
      </w:r>
      <w:r>
        <w:rPr>
          <w:color w:val="5A6474"/>
          <w:sz w:val="20"/>
          <w:szCs w:val="20"/>
          <w:lang w:val="en-CA"/>
        </w:rPr>
        <w:t>Belmont, MA, USA : Athena Scientific, 2017.</w:t>
      </w:r>
    </w:p>
    <w:p w:rsidR="00B20A92" w:rsidRPr="00181759" w:rsidRDefault="00181759">
      <w:pPr>
        <w:spacing w:before="80" w:after="80"/>
        <w:ind w:left="720" w:hanging="720"/>
        <w:rPr>
          <w:lang w:val="en-CA"/>
        </w:rPr>
      </w:pPr>
      <w:r>
        <w:rPr>
          <w:b/>
          <w:bCs/>
          <w:color w:val="C0392B"/>
          <w:sz w:val="20"/>
          <w:szCs w:val="20"/>
          <w:lang w:val="en-CA"/>
        </w:rPr>
        <w:t xml:space="preserve">[6] </w:t>
      </w:r>
      <w:r>
        <w:rPr>
          <w:sz w:val="20"/>
          <w:szCs w:val="20"/>
          <w:lang w:val="en-CA"/>
        </w:rPr>
        <w:t xml:space="preserve">R. Y. Rubinstein et D. P. Kroese, </w:t>
      </w:r>
      <w:r>
        <w:rPr>
          <w:i/>
          <w:iCs/>
          <w:sz w:val="20"/>
          <w:szCs w:val="20"/>
          <w:lang w:val="en-CA"/>
        </w:rPr>
        <w:t xml:space="preserve">Simulation and the Monte Carlo Method, 3e éd. </w:t>
      </w:r>
      <w:r>
        <w:rPr>
          <w:color w:val="5A6474"/>
          <w:sz w:val="20"/>
          <w:szCs w:val="20"/>
          <w:lang w:val="en-CA"/>
        </w:rPr>
        <w:t>Hoboken, NJ, USA : Wiley, 2016.</w:t>
      </w:r>
    </w:p>
    <w:p w:rsidR="00B20A92" w:rsidRPr="00181759" w:rsidRDefault="00181759">
      <w:pPr>
        <w:spacing w:before="80" w:after="80"/>
        <w:ind w:left="720" w:hanging="720"/>
        <w:rPr>
          <w:lang w:val="en-CA"/>
        </w:rPr>
      </w:pPr>
      <w:r>
        <w:rPr>
          <w:b/>
          <w:bCs/>
          <w:color w:val="C0392B"/>
          <w:sz w:val="20"/>
          <w:szCs w:val="20"/>
          <w:lang w:val="en-CA"/>
        </w:rPr>
        <w:t xml:space="preserve">[7] </w:t>
      </w:r>
      <w:r>
        <w:rPr>
          <w:sz w:val="20"/>
          <w:szCs w:val="20"/>
          <w:lang w:val="en-CA"/>
        </w:rPr>
        <w:t xml:space="preserve">S. Koenig et M. Likhachev, </w:t>
      </w:r>
      <w:r>
        <w:rPr>
          <w:i/>
          <w:iCs/>
          <w:sz w:val="20"/>
          <w:szCs w:val="20"/>
          <w:lang w:val="en-CA"/>
        </w:rPr>
        <w:t xml:space="preserve">« D* Lite », </w:t>
      </w:r>
      <w:r>
        <w:rPr>
          <w:color w:val="5A6474"/>
          <w:sz w:val="20"/>
          <w:szCs w:val="20"/>
          <w:lang w:val="en-CA"/>
        </w:rPr>
        <w:t>in Proc. AAAI National Conference on Artificial Intelligence, 2002, pp. 476–483.</w:t>
      </w:r>
    </w:p>
    <w:p w:rsidR="00B20A92" w:rsidRPr="00181759" w:rsidRDefault="00181759">
      <w:pPr>
        <w:spacing w:before="80" w:after="80"/>
        <w:ind w:left="720" w:hanging="720"/>
        <w:rPr>
          <w:lang w:val="en-CA"/>
        </w:rPr>
      </w:pPr>
      <w:r>
        <w:rPr>
          <w:b/>
          <w:bCs/>
          <w:color w:val="C0392B"/>
          <w:sz w:val="20"/>
          <w:szCs w:val="20"/>
          <w:lang w:val="en-CA"/>
        </w:rPr>
        <w:t xml:space="preserve">[8] </w:t>
      </w:r>
      <w:r>
        <w:rPr>
          <w:sz w:val="20"/>
          <w:szCs w:val="20"/>
          <w:lang w:val="en-CA"/>
        </w:rPr>
        <w:t xml:space="preserve">M. L. Puterman, </w:t>
      </w:r>
      <w:r>
        <w:rPr>
          <w:i/>
          <w:iCs/>
          <w:sz w:val="20"/>
          <w:szCs w:val="20"/>
          <w:lang w:val="en-CA"/>
        </w:rPr>
        <w:t xml:space="preserve">Markov Decision Processes: Discrete Stochastic Dynamic Programming. </w:t>
      </w:r>
      <w:r>
        <w:rPr>
          <w:color w:val="5A6474"/>
          <w:sz w:val="20"/>
          <w:szCs w:val="20"/>
          <w:lang w:val="en-CA"/>
        </w:rPr>
        <w:t>Hoboken, NJ, USA : Wiley-Interscience, 1994.</w:t>
      </w:r>
    </w:p>
    <w:p w:rsidR="00B20A92" w:rsidRPr="00181759" w:rsidRDefault="00181759">
      <w:pPr>
        <w:spacing w:before="80" w:after="80"/>
        <w:ind w:left="720" w:hanging="720"/>
        <w:rPr>
          <w:lang w:val="en-CA"/>
        </w:rPr>
      </w:pPr>
      <w:r>
        <w:rPr>
          <w:b/>
          <w:bCs/>
          <w:color w:val="C0392B"/>
          <w:sz w:val="20"/>
          <w:szCs w:val="20"/>
          <w:lang w:val="en-CA"/>
        </w:rPr>
        <w:t xml:space="preserve">[9] </w:t>
      </w:r>
      <w:r>
        <w:rPr>
          <w:sz w:val="20"/>
          <w:szCs w:val="20"/>
          <w:lang w:val="en-CA"/>
        </w:rPr>
        <w:t xml:space="preserve">E. Pohl, </w:t>
      </w:r>
      <w:r>
        <w:rPr>
          <w:i/>
          <w:iCs/>
          <w:sz w:val="20"/>
          <w:szCs w:val="20"/>
          <w:lang w:val="en-CA"/>
        </w:rPr>
        <w:t xml:space="preserve">« Heuristic search viewed as path finding in a graph », </w:t>
      </w:r>
      <w:r>
        <w:rPr>
          <w:color w:val="5A6474"/>
          <w:sz w:val="20"/>
          <w:szCs w:val="20"/>
          <w:lang w:val="en-CA"/>
        </w:rPr>
        <w:t>Artificial Intelligence, vol. 1, n° 3–4, pp. 193–204, 1970.</w:t>
      </w:r>
    </w:p>
    <w:p w:rsidR="00B20A92" w:rsidRDefault="00181759">
      <w:pPr>
        <w:spacing w:before="80" w:after="80"/>
        <w:ind w:left="720" w:hanging="720"/>
      </w:pPr>
      <w:r>
        <w:rPr>
          <w:b/>
          <w:bCs/>
          <w:color w:val="C0392B"/>
          <w:sz w:val="20"/>
          <w:szCs w:val="20"/>
        </w:rPr>
        <w:t xml:space="preserve">[10] </w:t>
      </w:r>
      <w:r>
        <w:rPr>
          <w:sz w:val="20"/>
          <w:szCs w:val="20"/>
        </w:rPr>
        <w:t xml:space="preserve">T. Cormen, C. Leiserson, R. Rivest et C. Stein, </w:t>
      </w:r>
      <w:r>
        <w:rPr>
          <w:i/>
          <w:iCs/>
          <w:sz w:val="20"/>
          <w:szCs w:val="20"/>
        </w:rPr>
        <w:t xml:space="preserve">Introduction to Algorithms, 4e éd. </w:t>
      </w:r>
      <w:r>
        <w:rPr>
          <w:color w:val="5A6474"/>
          <w:sz w:val="20"/>
          <w:szCs w:val="20"/>
        </w:rPr>
        <w:t>Cambridge, MA, USA : MIT Press, 2022.</w:t>
      </w:r>
    </w:p>
    <w:sectPr w:rsidR="00B20A92">
      <w:headerReference w:type="default" r:id="rId13"/>
      <w:footerReference w:type="default" r:id="rId14"/>
      <w:pgSz w:w="11906" w:h="16838"/>
      <w:pgMar w:top="1134" w:right="1134" w:bottom="1134" w:left="1134" w:header="708" w:footer="708" w:gutter="0"/>
      <w:pgBorders>
        <w:top w:val="single" w:sz="18" w:space="24" w:color="8B0000"/>
        <w:left w:val="single" w:sz="18" w:space="24" w:color="8B0000"/>
        <w:bottom w:val="single" w:sz="18" w:space="24" w:color="8B0000"/>
        <w:right w:val="single" w:sz="18" w:space="24" w:color="8B000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1443" w:rsidRDefault="00801443">
      <w:r>
        <w:separator/>
      </w:r>
    </w:p>
  </w:endnote>
  <w:endnote w:type="continuationSeparator" w:id="0">
    <w:p w:rsidR="00801443" w:rsidRDefault="00801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1759" w:rsidRDefault="00181759">
    <w:pPr>
      <w:pBdr>
        <w:top w:val="single" w:sz="4" w:space="4" w:color="D6E4F7"/>
      </w:pBdr>
      <w:tabs>
        <w:tab w:val="right" w:pos="9026"/>
      </w:tabs>
    </w:pPr>
    <w:r>
      <w:rPr>
        <w:color w:val="5A6474"/>
        <w:sz w:val="18"/>
        <w:szCs w:val="18"/>
      </w:rPr>
      <w:t xml:space="preserve">Oussama </w:t>
    </w:r>
    <w:proofErr w:type="spellStart"/>
    <w:r>
      <w:rPr>
        <w:color w:val="5A6474"/>
        <w:sz w:val="18"/>
        <w:szCs w:val="18"/>
      </w:rPr>
      <w:t>Felouach</w:t>
    </w:r>
    <w:proofErr w:type="spellEnd"/>
    <w:r>
      <w:rPr>
        <w:color w:val="5A6474"/>
        <w:sz w:val="18"/>
        <w:szCs w:val="18"/>
      </w:rPr>
      <w:t xml:space="preserve"> — Mini-projet 2026</w:t>
    </w:r>
    <w:r>
      <w:rPr>
        <w:color w:val="5A6474"/>
        <w:sz w:val="18"/>
        <w:szCs w:val="18"/>
      </w:rPr>
      <w:tab/>
      <w:t xml:space="preserve">Page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1443" w:rsidRDefault="00801443">
      <w:r>
        <w:separator/>
      </w:r>
    </w:p>
  </w:footnote>
  <w:footnote w:type="continuationSeparator" w:id="0">
    <w:p w:rsidR="00801443" w:rsidRDefault="0080144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1759" w:rsidRDefault="00181759">
    <w:pPr>
      <w:pBdr>
        <w:bottom w:val="single" w:sz="6" w:space="4" w:color="2E6EBF"/>
      </w:pBdr>
    </w:pPr>
    <w:r>
      <w:rPr>
        <w:color w:val="5A6474"/>
        <w:sz w:val="18"/>
        <w:szCs w:val="18"/>
      </w:rPr>
      <w:t>Planification robuste sur grille — A* + Chaînes de Markov</w:t>
    </w:r>
    <w:r>
      <w:rPr>
        <w:color w:val="E8813A"/>
        <w:sz w:val="18"/>
        <w:szCs w:val="18"/>
      </w:rPr>
      <w:t xml:space="preserve">   |   ENSET </w:t>
    </w:r>
    <w:proofErr w:type="spellStart"/>
    <w:r>
      <w:rPr>
        <w:color w:val="E8813A"/>
        <w:sz w:val="18"/>
        <w:szCs w:val="18"/>
      </w:rPr>
      <w:t>Mohammadia</w:t>
    </w:r>
    <w:proofErr w:type="spellEnd"/>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82E3A"/>
    <w:multiLevelType w:val="hybridMultilevel"/>
    <w:tmpl w:val="40685BA2"/>
    <w:lvl w:ilvl="0" w:tplc="ACDAACE4">
      <w:start w:val="1"/>
      <w:numFmt w:val="bullet"/>
      <w:lvlText w:val="▸"/>
      <w:lvlJc w:val="left"/>
      <w:pPr>
        <w:ind w:left="720" w:hanging="360"/>
      </w:pPr>
      <w:rPr>
        <w:rFonts w:ascii="Arial" w:eastAsia="Arial" w:hAnsi="Arial" w:cs="Arial"/>
        <w:color w:val="E8813A"/>
      </w:rPr>
    </w:lvl>
    <w:lvl w:ilvl="1" w:tplc="22707DEA">
      <w:numFmt w:val="decimal"/>
      <w:lvlText w:val=""/>
      <w:lvlJc w:val="left"/>
    </w:lvl>
    <w:lvl w:ilvl="2" w:tplc="DDEE8B8C">
      <w:numFmt w:val="decimal"/>
      <w:lvlText w:val=""/>
      <w:lvlJc w:val="left"/>
    </w:lvl>
    <w:lvl w:ilvl="3" w:tplc="0BB8ED90">
      <w:numFmt w:val="decimal"/>
      <w:lvlText w:val=""/>
      <w:lvlJc w:val="left"/>
    </w:lvl>
    <w:lvl w:ilvl="4" w:tplc="52C6D764">
      <w:numFmt w:val="decimal"/>
      <w:lvlText w:val=""/>
      <w:lvlJc w:val="left"/>
    </w:lvl>
    <w:lvl w:ilvl="5" w:tplc="C45EECAA">
      <w:numFmt w:val="decimal"/>
      <w:lvlText w:val=""/>
      <w:lvlJc w:val="left"/>
    </w:lvl>
    <w:lvl w:ilvl="6" w:tplc="B84A5F04">
      <w:numFmt w:val="decimal"/>
      <w:lvlText w:val=""/>
      <w:lvlJc w:val="left"/>
    </w:lvl>
    <w:lvl w:ilvl="7" w:tplc="A0DCA6DC">
      <w:numFmt w:val="decimal"/>
      <w:lvlText w:val=""/>
      <w:lvlJc w:val="left"/>
    </w:lvl>
    <w:lvl w:ilvl="8" w:tplc="F5DEE1B6">
      <w:numFmt w:val="decimal"/>
      <w:lvlText w:val=""/>
      <w:lvlJc w:val="left"/>
    </w:lvl>
  </w:abstractNum>
  <w:abstractNum w:abstractNumId="1" w15:restartNumberingAfterBreak="0">
    <w:nsid w:val="55B5539C"/>
    <w:multiLevelType w:val="hybridMultilevel"/>
    <w:tmpl w:val="A0BA8B3A"/>
    <w:lvl w:ilvl="0" w:tplc="D240985E">
      <w:start w:val="1"/>
      <w:numFmt w:val="bullet"/>
      <w:lvlText w:val="●"/>
      <w:lvlJc w:val="left"/>
      <w:pPr>
        <w:ind w:left="720" w:hanging="360"/>
      </w:pPr>
    </w:lvl>
    <w:lvl w:ilvl="1" w:tplc="E75064F2">
      <w:start w:val="1"/>
      <w:numFmt w:val="bullet"/>
      <w:lvlText w:val="○"/>
      <w:lvlJc w:val="left"/>
      <w:pPr>
        <w:ind w:left="1440" w:hanging="360"/>
      </w:pPr>
    </w:lvl>
    <w:lvl w:ilvl="2" w:tplc="263C272A">
      <w:start w:val="1"/>
      <w:numFmt w:val="bullet"/>
      <w:lvlText w:val="■"/>
      <w:lvlJc w:val="left"/>
      <w:pPr>
        <w:ind w:left="2160" w:hanging="360"/>
      </w:pPr>
    </w:lvl>
    <w:lvl w:ilvl="3" w:tplc="C616C930">
      <w:start w:val="1"/>
      <w:numFmt w:val="bullet"/>
      <w:lvlText w:val="●"/>
      <w:lvlJc w:val="left"/>
      <w:pPr>
        <w:ind w:left="2880" w:hanging="360"/>
      </w:pPr>
    </w:lvl>
    <w:lvl w:ilvl="4" w:tplc="C5388AC0">
      <w:start w:val="1"/>
      <w:numFmt w:val="bullet"/>
      <w:lvlText w:val="○"/>
      <w:lvlJc w:val="left"/>
      <w:pPr>
        <w:ind w:left="3600" w:hanging="360"/>
      </w:pPr>
    </w:lvl>
    <w:lvl w:ilvl="5" w:tplc="534023E4">
      <w:start w:val="1"/>
      <w:numFmt w:val="bullet"/>
      <w:lvlText w:val="■"/>
      <w:lvlJc w:val="left"/>
      <w:pPr>
        <w:ind w:left="4320" w:hanging="360"/>
      </w:pPr>
    </w:lvl>
    <w:lvl w:ilvl="6" w:tplc="6D7E1ADC">
      <w:start w:val="1"/>
      <w:numFmt w:val="bullet"/>
      <w:lvlText w:val="●"/>
      <w:lvlJc w:val="left"/>
      <w:pPr>
        <w:ind w:left="5040" w:hanging="360"/>
      </w:pPr>
    </w:lvl>
    <w:lvl w:ilvl="7" w:tplc="D03081C4">
      <w:start w:val="1"/>
      <w:numFmt w:val="bullet"/>
      <w:lvlText w:val="●"/>
      <w:lvlJc w:val="left"/>
      <w:pPr>
        <w:ind w:left="5760" w:hanging="360"/>
      </w:pPr>
    </w:lvl>
    <w:lvl w:ilvl="8" w:tplc="BE6AA42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A92"/>
    <w:rsid w:val="00181759"/>
    <w:rsid w:val="003222D2"/>
    <w:rsid w:val="005B0D76"/>
    <w:rsid w:val="00677435"/>
    <w:rsid w:val="00801443"/>
    <w:rsid w:val="00B20A9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B322F9B-E9D4-4285-B65D-C6C884438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1A2E"/>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160"/>
      <w:outlineLvl w:val="0"/>
    </w:pPr>
    <w:rPr>
      <w:b/>
      <w:bCs/>
      <w:color w:val="8B0000"/>
      <w:sz w:val="28"/>
      <w:szCs w:val="28"/>
    </w:rPr>
  </w:style>
  <w:style w:type="paragraph" w:styleId="Titre2">
    <w:name w:val="heading 2"/>
    <w:qFormat/>
    <w:pPr>
      <w:spacing w:before="240" w:after="100"/>
      <w:outlineLvl w:val="1"/>
    </w:pPr>
    <w:rPr>
      <w:b/>
      <w:bCs/>
      <w:color w:val="C0392B"/>
      <w:sz w:val="24"/>
      <w:szCs w:val="24"/>
    </w:rPr>
  </w:style>
  <w:style w:type="paragraph" w:styleId="Titre3">
    <w:name w:val="heading 3"/>
    <w:qFormat/>
    <w:pPr>
      <w:outlineLvl w:val="2"/>
    </w:pPr>
    <w:rPr>
      <w:color w:val="922B21"/>
      <w:sz w:val="24"/>
      <w:szCs w:val="24"/>
    </w:rPr>
  </w:style>
  <w:style w:type="paragraph" w:styleId="Titre4">
    <w:name w:val="heading 4"/>
    <w:qFormat/>
    <w:pPr>
      <w:outlineLvl w:val="3"/>
    </w:pPr>
    <w:rPr>
      <w:i/>
      <w:iCs/>
      <w:color w:val="C0392B"/>
    </w:rPr>
  </w:style>
  <w:style w:type="paragraph" w:styleId="Titre5">
    <w:name w:val="heading 5"/>
    <w:qFormat/>
    <w:pPr>
      <w:outlineLvl w:val="4"/>
    </w:pPr>
    <w:rPr>
      <w:color w:val="C0392B"/>
    </w:rPr>
  </w:style>
  <w:style w:type="paragraph" w:styleId="Titre6">
    <w:name w:val="heading 6"/>
    <w:qFormat/>
    <w:pPr>
      <w:outlineLvl w:val="5"/>
    </w:pPr>
    <w:rPr>
      <w:color w:val="922B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922B2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181759"/>
    <w:pPr>
      <w:spacing w:after="100"/>
    </w:pPr>
  </w:style>
  <w:style w:type="paragraph" w:styleId="TM2">
    <w:name w:val="toc 2"/>
    <w:basedOn w:val="Normal"/>
    <w:next w:val="Normal"/>
    <w:autoRedefine/>
    <w:uiPriority w:val="39"/>
    <w:unhideWhenUsed/>
    <w:rsid w:val="0018175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2811</Words>
  <Characters>15463</Characters>
  <Application>Microsoft Office Word</Application>
  <DocSecurity>0</DocSecurity>
  <Lines>128</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2026-03-05T21:32:00Z</dcterms:created>
  <dcterms:modified xsi:type="dcterms:W3CDTF">2026-03-05T21:32:00Z</dcterms:modified>
</cp:coreProperties>
</file>