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365D"/>
          <w:sz w:val="28"/>
          <w:szCs w:val="28"/>
        </w:rPr>
        <w:t xml:space="preserve">Oussama Hidane</w:t>
      </w:r>
    </w:p>
    <w:p>
      <w:pPr>
        <w:spacing w:after="240"/>
      </w:pPr>
      <w:r>
        <w:rPr>
          <w:rFonts w:ascii="Calibri" w:cs="Calibri" w:eastAsia="Calibri" w:hAnsi="Calibri"/>
          <w:color w:val="595959"/>
          <w:sz w:val="19"/>
          <w:szCs w:val="19"/>
        </w:rPr>
        <w:t xml:space="preserve">Toronto, ON  ·  +1 (438) 220-5053  ·  mr.oussamahidane@gmail.com  ·  oussamahidane.com</w:t>
      </w:r>
    </w:p>
    <w:p>
      <w:pPr>
        <w:spacing w:after="200" w:line="264"/>
      </w:pPr>
      <w:r>
        <w:rPr>
          <w:rFonts w:ascii="Calibri" w:cs="Calibri" w:eastAsia="Calibri" w:hAnsi="Calibri"/>
          <w:sz w:val="22"/>
          <w:szCs w:val="22"/>
        </w:rPr>
        <w:t xml:space="preserve">July 12, 2026</w:t>
      </w:r>
    </w:p>
    <w:p>
      <w:pPr>
        <w:spacing w:after="40"/>
      </w:pPr>
      <w:r>
        <w:rPr>
          <w:rFonts w:ascii="Calibri" w:cs="Calibri" w:eastAsia="Calibri" w:hAnsi="Calibri"/>
          <w:sz w:val="22"/>
          <w:szCs w:val="22"/>
        </w:rPr>
        <w:t xml:space="preserve">RBC Global Asset Management, Talent Acquisition</w:t>
      </w:r>
    </w:p>
    <w:p>
      <w:pPr>
        <w:spacing w:after="200"/>
      </w:pPr>
      <w:r>
        <w:rPr>
          <w:rFonts w:ascii="Calibri" w:cs="Calibri" w:eastAsia="Calibri" w:hAnsi="Calibri"/>
          <w:sz w:val="22"/>
          <w:szCs w:val="22"/>
        </w:rPr>
        <w:t xml:space="preserve">RBC Centre, 155 Wellington St W, Toronto, ON</w:t>
      </w:r>
    </w:p>
    <w:p>
      <w:pPr>
        <w:spacing w:after="200"/>
      </w:pPr>
      <w:r>
        <w:rPr>
          <w:rFonts w:ascii="Calibri" w:cs="Calibri" w:eastAsia="Calibri" w:hAnsi="Calibri"/>
          <w:b/>
          <w:bCs/>
          <w:sz w:val="22"/>
          <w:szCs w:val="22"/>
        </w:rPr>
        <w:t xml:space="preserve">Re: AI Analyst, AI for Alpha initiative (Req R-0000179708)</w:t>
      </w:r>
    </w:p>
    <w:p>
      <w:pPr>
        <w:spacing w:after="180" w:line="264"/>
      </w:pPr>
      <w:r>
        <w:rPr>
          <w:rFonts w:ascii="Calibri" w:cs="Calibri" w:eastAsia="Calibri" w:hAnsi="Calibri"/>
          <w:sz w:val="22"/>
          <w:szCs w:val="22"/>
        </w:rPr>
        <w:t xml:space="preserve">Dear Hiring Team,</w:t>
      </w:r>
    </w:p>
    <w:p>
      <w:pPr>
        <w:spacing w:after="180" w:line="264"/>
      </w:pPr>
      <w:r>
        <w:rPr>
          <w:rFonts w:ascii="Calibri" w:cs="Calibri" w:eastAsia="Calibri" w:hAnsi="Calibri"/>
          <w:sz w:val="22"/>
          <w:szCs w:val="22"/>
        </w:rPr>
        <w:t xml:space="preserve">I built a fintech until the capital ran out. Along the way I learned what it actually takes to ship AI products under real constraints: cost, quality, reliability. I'm now making a deliberate move into institutional asset management, and this role is the exact intersection of what I've built and where I'm going.</w:t>
      </w:r>
    </w:p>
    <w:p>
      <w:pPr>
        <w:spacing w:after="180" w:line="264"/>
      </w:pPr>
      <w:r>
        <w:rPr>
          <w:rFonts w:ascii="Calibri" w:cs="Calibri" w:eastAsia="Calibri" w:hAnsi="Calibri"/>
          <w:sz w:val="22"/>
          <w:szCs w:val="22"/>
        </w:rPr>
        <w:t xml:space="preserve">The adoption half of this role is work I have already done. As founder and CEO of MusliFin, I spent the last year and a half convincing skeptical, non-technical operators (auto dealers) to trust a new financing workflow: 7+ Ontario dealerships pitched across 15+ meetings, 4 converted. Getting a portfolio manager to trust an AI output follows the same rule; people adopt tools once quality and reliability are proven to them. I built the technical side myself as well, including a six-agent Claude pipeline for credit-risk research grounded in IRB/OSFI frameworks, MCP integrations connecting Claude to live business systems, and automations on the Claude API in Python.</w:t>
      </w:r>
    </w:p>
    <w:p>
      <w:pPr>
        <w:spacing w:after="180" w:line="264"/>
      </w:pPr>
      <w:r>
        <w:rPr>
          <w:rFonts w:ascii="Calibri" w:cs="Calibri" w:eastAsia="Calibri" w:hAnsi="Calibri"/>
          <w:sz w:val="22"/>
          <w:szCs w:val="22"/>
        </w:rPr>
        <w:t xml:space="preserve">I learned context engineering in production, and I learned it the expensive way. One simple prompt cost more than five dollars because months of accumulated chat history rode along silently as context. The fix became a working discipline: markdown state files hold instructions and session state, so every session starts clean and every build can be reproduced from documentation alone. Bloated context wastes money and degrades output quality. That discipline covers much of what this role owns, from evaluation frameworks and quality assurance to documentation, best practices and shared resources.</w:t>
      </w:r>
    </w:p>
    <w:p>
      <w:pPr>
        <w:spacing w:after="180" w:line="264"/>
      </w:pPr>
      <w:r>
        <w:rPr>
          <w:rFonts w:ascii="Calibri" w:cs="Calibri" w:eastAsia="Calibri" w:hAnsi="Calibri"/>
          <w:sz w:val="22"/>
          <w:szCs w:val="22"/>
        </w:rPr>
        <w:t xml:space="preserve">The investment side is familiar ground. I am a CFA Level II candidate with two master's degrees in progress, quantitative finance at HEC Montréal and Islamic accounting and finance at INCEIF. Before founding MusliFin I worked in M&amp;A research at Harris Computer, where I supported a C$400M+ annual acquisition program, in D&amp;O underwriting at Victor Canada, and in equity research for a student-managed fund. I can talk with portfolio managers, analysts and traders in their language, and translate between them and the technology and data teams.</w:t>
      </w:r>
    </w:p>
    <w:p>
      <w:pPr>
        <w:spacing w:after="180" w:line="264"/>
      </w:pPr>
      <w:r>
        <w:rPr>
          <w:rFonts w:ascii="Calibri" w:cs="Calibri" w:eastAsia="Calibri" w:hAnsi="Calibri"/>
          <w:sz w:val="22"/>
          <w:szCs w:val="22"/>
        </w:rPr>
        <w:t xml:space="preserve">I am based in Toronto and available immediately. The posted range works for me; the draw is the institutional scale and the chance to work where AI meets investment management. I look forward to hearing from you.</w:t>
      </w:r>
    </w:p>
    <w:p>
      <w:pPr>
        <w:spacing w:after="40" w:line="264"/>
      </w:pPr>
      <w:r>
        <w:rPr>
          <w:rFonts w:ascii="Calibri" w:cs="Calibri" w:eastAsia="Calibri" w:hAnsi="Calibri"/>
          <w:sz w:val="22"/>
          <w:szCs w:val="22"/>
        </w:rPr>
        <w:t xml:space="preserve">Sincerely,</w:t>
      </w:r>
    </w:p>
    <w:p>
      <w:r>
        <w:rPr>
          <w:rFonts w:ascii="Calibri" w:cs="Calibri" w:eastAsia="Calibri" w:hAnsi="Calibri"/>
          <w:b/>
          <w:bCs/>
          <w:sz w:val="22"/>
          <w:szCs w:val="22"/>
        </w:rPr>
        <w:t xml:space="preserve">Oussama Hidane</w:t>
      </w:r>
    </w:p>
    <w:sectPr>
      <w:pgSz w:w="12240" w:h="15840" w:orient="portrait"/>
      <w:pgMar w:top="120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2026-07-12T11:18:25.949Z</dcterms:created>
  <dcterms:modified xsi:type="dcterms:W3CDTF">2026-07-12T11:18:25.949Z</dcterms:modified>
</cp:coreProperties>
</file>

<file path=docProps/custom.xml><?xml version="1.0" encoding="utf-8"?>
<Properties xmlns="http://schemas.openxmlformats.org/officeDocument/2006/custom-properties" xmlns:vt="http://schemas.openxmlformats.org/officeDocument/2006/docPropsVTypes"/>
</file>