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365D"/>
          <w:sz w:val="40"/>
          <w:szCs w:val="40"/>
        </w:rPr>
        <w:t xml:space="preserve">OUSSAMA HIDANE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Toronto, ON  ·  +1 (438) 220-5053  ·  mr.oussamahidane@gmail.com  ·  linkedin.com/in/oussama-hidane  ·  oussamahidane.com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Founder who shipped production AI systems under real cost, quality and reliability constraints: agent pipelines, LLM evaluation discipline, context engineering. Now making a deliberate move into institutional asset management. CFA Level II candidate; dual master's in progress (Quantitative Finance, HEC Montréal; Islamic Accounting &amp; Finance, INCEIF); prior experience in M&amp;A research, underwriting and equity analysis.</w:t>
      </w:r>
    </w:p>
    <w:p>
      <w:pPr>
        <w:pBdr>
          <w:bottom w:val="single" w:color="BFBFB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aps/>
          <w:color w:val="1A365D"/>
          <w:sz w:val="21"/>
          <w:szCs w:val="21"/>
        </w:rPr>
        <w:t xml:space="preserve">AI Systems, Built &amp; Shipped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Six-agent Claude pipeline for credit-risk research (PD/LGD/EAD grounded in IRB/OSFI frameworks), covering agent orchestration from ingestion to reviewed output.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Quality controls for LLM outputs: structured prompts, repeated-run consistency checks, and verification of generated figures against source documents.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Context engineering in production: markdown state files that hold instructions and session state, cutting token cost, stabilizing output quality, and keeping every build reproducible from documentation alone.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Shipped integrations: MCP servers bridging Claude to a live ERP (Odoo), Gmail-to-accounting automation, and a real-time voice tool for sales-pitch assessment, built on the Claude API in Python.</w:t>
      </w:r>
    </w:p>
    <w:p>
      <w:pPr>
        <w:pBdr>
          <w:bottom w:val="single" w:color="BFBFB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aps/>
          <w:color w:val="1A365D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MusliFin Inc. (Sayaara)</w:t>
      </w:r>
      <w:r>
        <w:rPr>
          <w:rFonts w:ascii="Calibri" w:cs="Calibri" w:eastAsia="Calibri" w:hAnsi="Calibri"/>
          <w:sz w:val="20"/>
          <w:szCs w:val="20"/>
        </w:rPr>
        <w:t xml:space="preserve">, Founder &amp; CEO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·  Toronto, ON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 online marketplace connecting auto dealerships with buyers seeking Shariah-compliant financing; designed the compliance and origination layer: pricing structure per vehicle, buyer qualification, contract generation and disclosure.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Drove adoption of a new financing workflow among skeptical, non-technical users: pitched 7+ Ontario dealerships across 15+ meetings, converting 4 into qualified partners.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Advanced partnership discussions with 3 of 5 major North American OEM captive-finance arms, backed by credit-risk analysis and regulatory positioning.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Drafted Murabaha/Musawamah contract structures with legal, accounting and credit-risk implications analysis; authored a 5-year financial model and tailored decks across 8+ institutional and angel investor pitches.</w:t>
      </w:r>
    </w:p>
    <w:p>
      <w:pPr>
        <w:tabs>
          <w:tab w:val="right" w:pos="9026"/>
        </w:tabs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Day Zero Holdings</w:t>
      </w:r>
      <w:r>
        <w:rPr>
          <w:rFonts w:ascii="Calibri" w:cs="Calibri" w:eastAsia="Calibri" w:hAnsi="Calibri"/>
          <w:sz w:val="20"/>
          <w:szCs w:val="20"/>
        </w:rPr>
        <w:t xml:space="preserve">, M&amp;A Analyst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Feb 2025 – Nov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Sourced and evaluated SaaS acquisition targets, identifying 500+ high-growth companies for PE clients; engaged 120+ founders and executives to assess fit and interest.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Managed a 50+ opportunity deal pipeline; advised clients on M&amp;A strategy and delivered analyses of SaaS verticals covering valuation trends and competitive dynamics.</w:t>
      </w:r>
    </w:p>
    <w:p>
      <w:pPr>
        <w:tabs>
          <w:tab w:val="right" w:pos="9026"/>
        </w:tabs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Harris Computer (Constellation Software)</w:t>
      </w:r>
      <w:r>
        <w:rPr>
          <w:rFonts w:ascii="Calibri" w:cs="Calibri" w:eastAsia="Calibri" w:hAnsi="Calibri"/>
          <w:sz w:val="20"/>
          <w:szCs w:val="20"/>
        </w:rPr>
        <w:t xml:space="preserve">, M&amp;A Research Analyst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Jan 2023 – May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Contributed to deployment of Harris's C$400M+ annual acquisition capital target through M&amp;A research across public-safety, healthcare and fintech verticals.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DCF models, precedent-transaction analyses and financial forecasts; designed investment presentations for deal review.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Qualified 500+ new leads and re-prioritized 2,000+ existing ones working in Capital IQ, Bloomberg, FactSet, Refinitiv, SourceScrub and PitchBook.</w:t>
      </w:r>
    </w:p>
    <w:p>
      <w:pPr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Earlier: </w:t>
      </w:r>
      <w:r>
        <w:rPr>
          <w:rFonts w:ascii="Calibri" w:cs="Calibri" w:eastAsia="Calibri" w:hAnsi="Calibri"/>
          <w:sz w:val="20"/>
          <w:szCs w:val="20"/>
        </w:rPr>
        <w:t xml:space="preserve">D&amp;O Liability Assistant Underwriter, Victor Canada (2021–22), insolvency-risk assessment of private and non-profit accounts  ·  Senior Equity Analyst, Telfer Capital Fund (2020–22), Materials &amp; Industrials coverage for a $300K student-managed fund  ·  Financial Risk Management Intern, Bank of Africa (2021), due-diligence checklists for C$20M and C$80M hotel acquisitions.</w:t>
      </w:r>
    </w:p>
    <w:p>
      <w:pPr>
        <w:pBdr>
          <w:bottom w:val="single" w:color="BFBFB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aps/>
          <w:color w:val="1A365D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HEC Montréal</w:t>
      </w:r>
      <w:r>
        <w:rPr>
          <w:rFonts w:ascii="Calibri" w:cs="Calibri" w:eastAsia="Calibri" w:hAnsi="Calibri"/>
          <w:sz w:val="20"/>
          <w:szCs w:val="20"/>
        </w:rPr>
        <w:t xml:space="preserve">, MSc Finance (Quantitative Finance)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In progress</w:t>
      </w:r>
    </w:p>
    <w:p>
      <w:pPr>
        <w:tabs>
          <w:tab w:val="right" w:pos="9026"/>
        </w:tabs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INCEIF University</w:t>
      </w:r>
      <w:r>
        <w:rPr>
          <w:rFonts w:ascii="Calibri" w:cs="Calibri" w:eastAsia="Calibri" w:hAnsi="Calibri"/>
          <w:sz w:val="20"/>
          <w:szCs w:val="20"/>
        </w:rPr>
        <w:t xml:space="preserve">, MSc Islamic Accounting &amp; Finance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In progress</w:t>
      </w:r>
    </w:p>
    <w:p>
      <w:pPr>
        <w:tabs>
          <w:tab w:val="right" w:pos="9026"/>
        </w:tabs>
        <w:spacing w:after="30" w:before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Telfer School of Management, University of Ottawa</w:t>
      </w:r>
      <w:r>
        <w:rPr>
          <w:rFonts w:ascii="Calibri" w:cs="Calibri" w:eastAsia="Calibri" w:hAnsi="Calibri"/>
          <w:sz w:val="20"/>
          <w:szCs w:val="20"/>
        </w:rPr>
        <w:t xml:space="preserve">, B.Com Finance (Co-op)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	2023</w:t>
      </w:r>
    </w:p>
    <w:p>
      <w:pPr>
        <w:pBdr>
          <w:bottom w:val="single" w:color="BFBFB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aps/>
          <w:color w:val="1A365D"/>
          <w:sz w:val="21"/>
          <w:szCs w:val="21"/>
        </w:rPr>
        <w:t xml:space="preserve">Certifications &amp;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CFA Level II Candidate  ·  Canadian Securities Course, CSI (2022)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AI/LLM: Python, Claude API, agent orchestration, MCP integrations, prompt &amp; context engineering, LLM/agent evaluation methodology (golden sets, consistency checks, grounding audits).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Quantitative: derivatives pricing (Itô's lemma, risk-neutral valuation), econometrics (OLS, IV/2SLS, fixed effects), DCF and precedent-transaction modeling.</w:t>
      </w:r>
    </w:p>
    <w:sectPr>
      <w:pgSz w:w="12240" w:h="15840" w:orient="portrait"/>
      <w:pgMar w:top="62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2026-07-12T11:18:25.938Z</dcterms:created>
  <dcterms:modified xsi:type="dcterms:W3CDTF">2026-07-12T11:18:25.940Z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