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Payments Policy - Version 9</w:t>
      </w:r>
    </w:p>
    <w:p>
      <w:pPr>
        <w:pStyle w:val="Heading2"/>
      </w:pPr>
      <w:r>
        <w:t>1. Purpose</w:t>
      </w:r>
    </w:p>
    <w:p>
      <w:r>
        <w:t>This document outlines the policy for payments handled by our organization.</w:t>
      </w:r>
    </w:p>
    <w:p>
      <w:pPr>
        <w:pStyle w:val="Heading2"/>
      </w:pPr>
      <w:r>
        <w:t>2. Policy Summary</w:t>
      </w:r>
    </w:p>
    <w:p>
      <w:r>
        <w:t>We aim to ensure all payments are processed efficiently. Contact support@company.com for issues or clarifications.</w:t>
      </w:r>
    </w:p>
    <w:p>
      <w:pPr>
        <w:pStyle w:val="Heading2"/>
      </w:pPr>
      <w:r>
        <w:t>3. Payment Processing</w:t>
      </w:r>
    </w:p>
    <w:p>
      <w:r>
        <w:t>All payments must include a transaction reference number.</w:t>
      </w:r>
    </w:p>
    <w:p>
      <w:r>
        <w:t>This ensures accurate tracking of each payment.</w:t>
      </w:r>
    </w:p>
    <w:p>
      <w:pPr>
        <w:pStyle w:val="Heading2"/>
      </w:pPr>
      <w:r>
        <w:t>4. Payment Processing</w:t>
      </w:r>
    </w:p>
    <w:p>
      <w:r>
        <w:t>Payments via installment plans require credit approval.</w:t>
      </w:r>
    </w:p>
    <w:p>
      <w:r>
        <w:t>Approval assesses customer creditworthiness.</w:t>
      </w:r>
    </w:p>
    <w:p>
      <w:pPr>
        <w:pStyle w:val="Heading2"/>
      </w:pPr>
      <w:r>
        <w:t>5. Payment Methods</w:t>
      </w:r>
    </w:p>
    <w:p>
      <w:r>
        <w:t>Emergency payments are processed within 30 minutes.</w:t>
      </w:r>
    </w:p>
    <w:p>
      <w:r>
        <w:t>Fast processing supports urgent needs.</w:t>
      </w:r>
    </w:p>
    <w:p>
      <w:pPr>
        <w:pStyle w:val="Heading2"/>
      </w:pPr>
      <w:r>
        <w:t>6. Payment Rules</w:t>
      </w:r>
    </w:p>
    <w:p>
      <w:r>
        <w:t>Payments made in foreign currency incur a 2% conversion fee.</w:t>
      </w:r>
    </w:p>
    <w:p>
      <w:r>
        <w:t>Fee covers currency exchange costs.</w:t>
      </w:r>
    </w:p>
    <w:p>
      <w:r>
        <w:t>Payment records are archived for 5 years.</w:t>
      </w:r>
    </w:p>
    <w:p>
      <w:r>
        <w:t>Archiving complies with regulatory requirements.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All payments must include a transaction reference number.</w:t>
            </w:r>
          </w:p>
        </w:tc>
        <w:tc>
          <w:tcPr>
            <w:tcW w:type="dxa" w:w="2880"/>
          </w:tcPr>
          <w:p>
            <w:r>
              <w:t>This ensures accurate tracking of each payment.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via installment plans require credit approval.</w:t>
            </w:r>
          </w:p>
        </w:tc>
        <w:tc>
          <w:tcPr>
            <w:tcW w:type="dxa" w:w="2880"/>
          </w:tcPr>
          <w:p>
            <w:r>
              <w:t>Approval assesses customer creditworthiness.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Emergency payments are processed within 30 minutes.</w:t>
            </w:r>
          </w:p>
        </w:tc>
        <w:tc>
          <w:tcPr>
            <w:tcW w:type="dxa" w:w="2880"/>
          </w:tcPr>
          <w:p>
            <w:r>
              <w:t>Fast processing supports urgent needs.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made in foreign currency incur a 2% conversion fee.</w:t>
            </w:r>
          </w:p>
        </w:tc>
        <w:tc>
          <w:tcPr>
            <w:tcW w:type="dxa" w:w="2880"/>
          </w:tcPr>
          <w:p>
            <w:r>
              <w:t>Fee covers currency exchange costs.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 records are archived for 5 years.</w:t>
            </w:r>
          </w:p>
        </w:tc>
        <w:tc>
          <w:tcPr>
            <w:tcW w:type="dxa" w:w="2880"/>
          </w:tcPr>
          <w:p>
            <w:r>
              <w:t>Archiving complies with regulatory requirements.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