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6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Transfers to charity accounts receive a tax receipt.</w:t>
      </w:r>
    </w:p>
    <w:p>
      <w:r>
        <w:t>Receipts are issued for tax deduction purposes.</w:t>
      </w:r>
    </w:p>
    <w:p>
      <w:pPr>
        <w:pStyle w:val="Heading2"/>
      </w:pPr>
      <w:r>
        <w:t>5. Transfer Policies</w:t>
      </w:r>
    </w:p>
    <w:p>
      <w:r>
        <w:t>Recurring transfers require monthly confirmation.</w:t>
      </w:r>
    </w:p>
    <w:p>
      <w:r>
        <w:t>Confirmation prevents unauthorized repeats.</w:t>
      </w:r>
    </w:p>
    <w:p>
      <w:pPr>
        <w:pStyle w:val="Heading2"/>
      </w:pPr>
      <w:r>
        <w:t>6. Transfer Conditions</w:t>
      </w:r>
    </w:p>
    <w:p>
      <w:r>
        <w:t>Transfers exceeding $5,000 need executive approval.</w:t>
      </w:r>
    </w:p>
    <w:p>
      <w:r>
        <w:t>Approval ensures compliance with high-value policies.</w:t>
      </w:r>
    </w:p>
    <w:p>
      <w:r>
        <w:t>Transfer history is available for 90 days online.</w:t>
      </w:r>
    </w:p>
    <w:p>
      <w:r>
        <w:t>Online access aids in tracking past transactions.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charity accounts receive a tax receipt.</w:t>
            </w:r>
          </w:p>
        </w:tc>
        <w:tc>
          <w:tcPr>
            <w:tcW w:type="dxa" w:w="2880"/>
          </w:tcPr>
          <w:p>
            <w:r>
              <w:t>Receipts are issued for tax deduction purposes.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Recurring transfers require monthly confirmation.</w:t>
            </w:r>
          </w:p>
        </w:tc>
        <w:tc>
          <w:tcPr>
            <w:tcW w:type="dxa" w:w="2880"/>
          </w:tcPr>
          <w:p>
            <w:r>
              <w:t>Confirmation prevents unauthorized repeats.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exceeding $5,000 need executive approval.</w:t>
            </w:r>
          </w:p>
        </w:tc>
        <w:tc>
          <w:tcPr>
            <w:tcW w:type="dxa" w:w="2880"/>
          </w:tcPr>
          <w:p>
            <w:r>
              <w:t>Approval ensures compliance with high-value policies.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history is available for 90 days online.</w:t>
            </w:r>
          </w:p>
        </w:tc>
        <w:tc>
          <w:tcPr>
            <w:tcW w:type="dxa" w:w="2880"/>
          </w:tcPr>
          <w:p>
            <w:r>
              <w:t>Online access aids in tracking past transactions.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